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4A6" w:rsidRPr="00CC7972" w:rsidRDefault="006B04A6" w:rsidP="000A2EF1">
      <w:pPr>
        <w:spacing w:after="0" w:line="240" w:lineRule="auto"/>
        <w:rPr>
          <w:rFonts w:ascii="Times New Roman" w:hAnsi="Times New Roman" w:cs="Times New Roman"/>
          <w:sz w:val="18"/>
          <w:szCs w:val="18"/>
        </w:rPr>
      </w:pPr>
      <w:r w:rsidRPr="00CC7972">
        <w:rPr>
          <w:rFonts w:ascii="Times New Roman" w:hAnsi="Times New Roman" w:cs="Times New Roman"/>
          <w:sz w:val="18"/>
          <w:szCs w:val="18"/>
        </w:rPr>
        <w:t>January 20, 2018                                                                                                                            PRODUCE BROKERS LIMITED</w:t>
      </w:r>
    </w:p>
    <w:p w:rsidR="006B04A6" w:rsidRPr="00CC7972" w:rsidRDefault="006B04A6" w:rsidP="000A2EF1">
      <w:pPr>
        <w:spacing w:after="0" w:line="240" w:lineRule="auto"/>
        <w:jc w:val="center"/>
        <w:rPr>
          <w:rFonts w:ascii="Times New Roman" w:hAnsi="Times New Roman" w:cs="Times New Roman"/>
          <w:color w:val="000000"/>
          <w:sz w:val="18"/>
          <w:szCs w:val="18"/>
          <w:u w:val="single"/>
        </w:rPr>
      </w:pPr>
      <w:r w:rsidRPr="00CC7972">
        <w:rPr>
          <w:rFonts w:ascii="Times New Roman" w:hAnsi="Times New Roman" w:cs="Times New Roman"/>
          <w:color w:val="000000"/>
          <w:sz w:val="18"/>
          <w:szCs w:val="18"/>
          <w:u w:val="single"/>
        </w:rPr>
        <w:t>MOMBASA TEA AUCTION</w:t>
      </w:r>
    </w:p>
    <w:p w:rsidR="001044ED" w:rsidRPr="00CC7972" w:rsidRDefault="006B04A6" w:rsidP="000A2EF1">
      <w:pPr>
        <w:spacing w:after="0" w:line="240" w:lineRule="auto"/>
        <w:jc w:val="center"/>
        <w:rPr>
          <w:rFonts w:ascii="Times New Roman" w:hAnsi="Times New Roman" w:cs="Times New Roman"/>
          <w:color w:val="000000"/>
          <w:sz w:val="18"/>
          <w:szCs w:val="18"/>
          <w:u w:val="single"/>
        </w:rPr>
      </w:pPr>
      <w:r w:rsidRPr="00CC7972">
        <w:rPr>
          <w:rFonts w:ascii="Times New Roman" w:hAnsi="Times New Roman" w:cs="Times New Roman"/>
          <w:color w:val="000000"/>
          <w:sz w:val="18"/>
          <w:szCs w:val="18"/>
          <w:u w:val="single"/>
        </w:rPr>
        <w:t>TEA MARKET REPORT OF SALE NO. 03 HELD ON 15</w:t>
      </w:r>
      <w:r w:rsidRPr="00CC7972">
        <w:rPr>
          <w:rFonts w:ascii="Times New Roman" w:hAnsi="Times New Roman" w:cs="Times New Roman"/>
          <w:color w:val="000000"/>
          <w:sz w:val="18"/>
          <w:szCs w:val="18"/>
          <w:u w:val="single"/>
          <w:vertAlign w:val="superscript"/>
        </w:rPr>
        <w:t>TH</w:t>
      </w:r>
      <w:r w:rsidRPr="00CC7972">
        <w:rPr>
          <w:rFonts w:ascii="Times New Roman" w:hAnsi="Times New Roman" w:cs="Times New Roman"/>
          <w:color w:val="000000"/>
          <w:sz w:val="18"/>
          <w:szCs w:val="18"/>
          <w:u w:val="single"/>
        </w:rPr>
        <w:t xml:space="preserve"> &amp; 16</w:t>
      </w:r>
      <w:r w:rsidRPr="00CC7972">
        <w:rPr>
          <w:rFonts w:ascii="Times New Roman" w:hAnsi="Times New Roman" w:cs="Times New Roman"/>
          <w:color w:val="000000"/>
          <w:sz w:val="18"/>
          <w:szCs w:val="18"/>
          <w:u w:val="single"/>
          <w:vertAlign w:val="superscript"/>
        </w:rPr>
        <w:t>TH</w:t>
      </w:r>
      <w:r w:rsidRPr="00CC7972">
        <w:rPr>
          <w:rFonts w:ascii="Times New Roman" w:hAnsi="Times New Roman" w:cs="Times New Roman"/>
          <w:color w:val="000000"/>
          <w:sz w:val="18"/>
          <w:szCs w:val="18"/>
          <w:u w:val="single"/>
        </w:rPr>
        <w:t xml:space="preserve"> JANUARY, 2018</w:t>
      </w:r>
    </w:p>
    <w:p w:rsidR="000A2EF1" w:rsidRPr="00CC7972" w:rsidRDefault="000A2EF1" w:rsidP="000A2EF1">
      <w:pPr>
        <w:spacing w:after="0" w:line="240" w:lineRule="auto"/>
        <w:jc w:val="center"/>
        <w:rPr>
          <w:rFonts w:ascii="Times New Roman" w:hAnsi="Times New Roman" w:cs="Times New Roman"/>
          <w:color w:val="000000"/>
          <w:sz w:val="18"/>
          <w:szCs w:val="18"/>
          <w:u w:val="single"/>
        </w:rPr>
      </w:pPr>
    </w:p>
    <w:p w:rsidR="00CC7972" w:rsidRDefault="00CC7972" w:rsidP="000A2EF1">
      <w:pPr>
        <w:spacing w:after="0" w:line="240" w:lineRule="auto"/>
        <w:jc w:val="both"/>
        <w:rPr>
          <w:rFonts w:ascii="Times New Roman" w:eastAsia="Times New Roman" w:hAnsi="Times New Roman" w:cs="Times New Roman"/>
          <w:color w:val="000000"/>
          <w:sz w:val="18"/>
          <w:szCs w:val="18"/>
        </w:rPr>
        <w:sectPr w:rsidR="00CC7972" w:rsidSect="000A2EF1">
          <w:footerReference w:type="default" r:id="rId6"/>
          <w:pgSz w:w="12240" w:h="15840" w:code="1"/>
          <w:pgMar w:top="720" w:right="1440" w:bottom="864" w:left="1440" w:header="720" w:footer="720" w:gutter="0"/>
          <w:cols w:space="720"/>
          <w:docGrid w:linePitch="360"/>
        </w:sectPr>
      </w:pPr>
    </w:p>
    <w:p w:rsidR="00CC7972" w:rsidRDefault="006B04A6" w:rsidP="000A2EF1">
      <w:pPr>
        <w:spacing w:after="0" w:line="240" w:lineRule="auto"/>
        <w:jc w:val="both"/>
        <w:rPr>
          <w:rFonts w:ascii="Times New Roman" w:eastAsia="Times New Roman" w:hAnsi="Times New Roman" w:cs="Times New Roman"/>
          <w:color w:val="000000"/>
          <w:sz w:val="18"/>
          <w:szCs w:val="18"/>
        </w:rPr>
      </w:pPr>
      <w:r w:rsidRPr="006B04A6">
        <w:rPr>
          <w:rFonts w:ascii="Times New Roman" w:eastAsia="Times New Roman" w:hAnsi="Times New Roman" w:cs="Times New Roman"/>
          <w:color w:val="000000"/>
          <w:sz w:val="18"/>
          <w:szCs w:val="18"/>
        </w:rPr>
        <w:lastRenderedPageBreak/>
        <w:t>Offerings this</w:t>
      </w:r>
      <w:r w:rsidRPr="00CC7972">
        <w:rPr>
          <w:rFonts w:ascii="Times New Roman" w:eastAsia="Times New Roman" w:hAnsi="Times New Roman" w:cs="Times New Roman"/>
          <w:color w:val="000000"/>
          <w:sz w:val="18"/>
          <w:szCs w:val="18"/>
        </w:rPr>
        <w:t> </w:t>
      </w:r>
      <w:r w:rsidRPr="006B04A6">
        <w:rPr>
          <w:rFonts w:ascii="Times New Roman" w:eastAsia="Times New Roman" w:hAnsi="Times New Roman" w:cs="Times New Roman"/>
          <w:color w:val="000000"/>
          <w:sz w:val="18"/>
          <w:szCs w:val="18"/>
        </w:rPr>
        <w:t>week totaled 179,439 packages (11,385,435.00kilos) against</w:t>
      </w:r>
      <w:r w:rsidRPr="00CC7972">
        <w:rPr>
          <w:rFonts w:ascii="Times New Roman" w:eastAsia="Times New Roman" w:hAnsi="Times New Roman" w:cs="Times New Roman"/>
          <w:color w:val="008000"/>
          <w:sz w:val="18"/>
          <w:szCs w:val="18"/>
        </w:rPr>
        <w:t> </w:t>
      </w:r>
      <w:r w:rsidRPr="006B04A6">
        <w:rPr>
          <w:rFonts w:ascii="Times New Roman" w:eastAsia="Times New Roman" w:hAnsi="Times New Roman" w:cs="Times New Roman"/>
          <w:color w:val="000000"/>
          <w:sz w:val="18"/>
          <w:szCs w:val="18"/>
        </w:rPr>
        <w:t xml:space="preserve">145,014 packages </w:t>
      </w:r>
      <w:r w:rsidRPr="006B04A6">
        <w:rPr>
          <w:rFonts w:ascii="Times New Roman" w:eastAsia="Times New Roman" w:hAnsi="Times New Roman" w:cs="Times New Roman"/>
          <w:color w:val="000000"/>
          <w:sz w:val="18"/>
          <w:szCs w:val="18"/>
        </w:rPr>
        <w:lastRenderedPageBreak/>
        <w:t>(9,387,781.50kilos) for</w:t>
      </w:r>
      <w:r w:rsidRPr="00CC7972">
        <w:rPr>
          <w:rFonts w:ascii="Times New Roman" w:eastAsia="Times New Roman" w:hAnsi="Times New Roman" w:cs="Times New Roman"/>
          <w:color w:val="008000"/>
          <w:sz w:val="18"/>
          <w:szCs w:val="18"/>
        </w:rPr>
        <w:t> </w:t>
      </w:r>
      <w:r w:rsidRPr="006B04A6">
        <w:rPr>
          <w:rFonts w:ascii="Times New Roman" w:eastAsia="Times New Roman" w:hAnsi="Times New Roman" w:cs="Times New Roman"/>
          <w:color w:val="000000"/>
          <w:sz w:val="18"/>
          <w:szCs w:val="18"/>
        </w:rPr>
        <w:t>the same period last year, made up as follows:-</w:t>
      </w:r>
    </w:p>
    <w:p w:rsidR="00CC7972" w:rsidRDefault="00CC7972" w:rsidP="000A2EF1">
      <w:pPr>
        <w:spacing w:after="0" w:line="240" w:lineRule="auto"/>
        <w:jc w:val="both"/>
        <w:rPr>
          <w:rFonts w:ascii="Times New Roman" w:eastAsia="Times New Roman" w:hAnsi="Times New Roman" w:cs="Times New Roman"/>
          <w:color w:val="000000"/>
          <w:sz w:val="18"/>
          <w:szCs w:val="18"/>
        </w:rPr>
        <w:sectPr w:rsidR="00CC7972" w:rsidSect="00CC7972">
          <w:type w:val="continuous"/>
          <w:pgSz w:w="12240" w:h="15840" w:code="1"/>
          <w:pgMar w:top="720" w:right="1440" w:bottom="864" w:left="1440" w:header="720" w:footer="720" w:gutter="0"/>
          <w:cols w:num="2" w:space="720"/>
          <w:docGrid w:linePitch="360"/>
        </w:sectPr>
      </w:pPr>
    </w:p>
    <w:p w:rsidR="006B04A6" w:rsidRPr="006B04A6" w:rsidRDefault="006B04A6" w:rsidP="000A2EF1">
      <w:pPr>
        <w:spacing w:after="0" w:line="240" w:lineRule="auto"/>
        <w:jc w:val="both"/>
        <w:rPr>
          <w:rFonts w:ascii="Times New Roman" w:eastAsia="Times New Roman" w:hAnsi="Times New Roman" w:cs="Times New Roman"/>
          <w:color w:val="000000"/>
          <w:sz w:val="18"/>
          <w:szCs w:val="18"/>
        </w:rPr>
      </w:pPr>
    </w:p>
    <w:tbl>
      <w:tblPr>
        <w:tblW w:w="0" w:type="auto"/>
        <w:tblCellMar>
          <w:left w:w="0" w:type="dxa"/>
          <w:right w:w="0" w:type="dxa"/>
        </w:tblCellMar>
        <w:tblLook w:val="04A0"/>
      </w:tblPr>
      <w:tblGrid>
        <w:gridCol w:w="2176"/>
        <w:gridCol w:w="1918"/>
        <w:gridCol w:w="1921"/>
        <w:gridCol w:w="1768"/>
        <w:gridCol w:w="1793"/>
      </w:tblGrid>
      <w:tr w:rsidR="006B04A6" w:rsidRPr="006B04A6" w:rsidTr="006B04A6">
        <w:trPr>
          <w:cantSplit/>
          <w:trHeight w:val="89"/>
        </w:trPr>
        <w:tc>
          <w:tcPr>
            <w:tcW w:w="2215" w:type="dxa"/>
            <w:tcBorders>
              <w:top w:val="single" w:sz="8" w:space="0" w:color="auto"/>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 </w:t>
            </w:r>
          </w:p>
        </w:tc>
        <w:tc>
          <w:tcPr>
            <w:tcW w:w="3906" w:type="dxa"/>
            <w:gridSpan w:val="2"/>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O F F E R E D</w:t>
            </w:r>
          </w:p>
        </w:tc>
        <w:tc>
          <w:tcPr>
            <w:tcW w:w="3617" w:type="dxa"/>
            <w:gridSpan w:val="2"/>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S O L D*</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Year 2018</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keepNext/>
              <w:spacing w:after="0" w:line="240" w:lineRule="auto"/>
              <w:jc w:val="right"/>
              <w:outlineLvl w:val="3"/>
              <w:rPr>
                <w:rFonts w:ascii="Times New Roman" w:eastAsia="Times New Roman" w:hAnsi="Times New Roman" w:cs="Times New Roman"/>
                <w:b/>
                <w:bCs/>
                <w:sz w:val="18"/>
                <w:szCs w:val="18"/>
              </w:rPr>
            </w:pPr>
            <w:r w:rsidRPr="006B04A6">
              <w:rPr>
                <w:rFonts w:ascii="Times New Roman" w:eastAsia="Times New Roman" w:hAnsi="Times New Roman" w:cs="Times New Roman"/>
                <w:b/>
                <w:bCs/>
                <w:sz w:val="18"/>
                <w:szCs w:val="18"/>
              </w:rPr>
              <w:t>Packages</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keepNext/>
              <w:spacing w:after="0" w:line="240" w:lineRule="auto"/>
              <w:jc w:val="right"/>
              <w:outlineLvl w:val="5"/>
              <w:rPr>
                <w:rFonts w:ascii="Times New Roman" w:eastAsia="Times New Roman" w:hAnsi="Times New Roman" w:cs="Times New Roman"/>
                <w:b/>
                <w:bCs/>
                <w:sz w:val="18"/>
                <w:szCs w:val="18"/>
              </w:rPr>
            </w:pPr>
            <w:r w:rsidRPr="006B04A6">
              <w:rPr>
                <w:rFonts w:ascii="Times New Roman" w:eastAsia="Times New Roman" w:hAnsi="Times New Roman" w:cs="Times New Roman"/>
                <w:b/>
                <w:bCs/>
                <w:sz w:val="18"/>
                <w:szCs w:val="18"/>
              </w:rPr>
              <w:t>Kilos</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Packages</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Kilos</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Kenya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130,660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8,554,228.00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122,880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8,078,620.00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Uganda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30,699</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1,733,370.00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27,659</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1,544,286.00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Rwanda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7,360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498,556.00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6,700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454,464.00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Burundi</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2,540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161,278.00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2,620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166,066.00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Tanzania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7,040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381,123.00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4,700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239,395.00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Dem Rep of Congo</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Mozambique</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280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15,156.00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280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15,156.00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Malawi</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Ethiopia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860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41,724.00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860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41,724.00</w:t>
            </w:r>
          </w:p>
        </w:tc>
      </w:tr>
      <w:tr w:rsidR="006B04A6" w:rsidRPr="006B04A6" w:rsidTr="006B04A6">
        <w:tc>
          <w:tcPr>
            <w:tcW w:w="2215" w:type="dxa"/>
            <w:tcBorders>
              <w:top w:val="nil"/>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keepNext/>
              <w:spacing w:after="0" w:line="240" w:lineRule="auto"/>
              <w:jc w:val="both"/>
              <w:outlineLvl w:val="3"/>
              <w:rPr>
                <w:rFonts w:ascii="Times New Roman" w:eastAsia="Times New Roman" w:hAnsi="Times New Roman" w:cs="Times New Roman"/>
                <w:b/>
                <w:bCs/>
                <w:sz w:val="18"/>
                <w:szCs w:val="18"/>
              </w:rPr>
            </w:pPr>
            <w:r w:rsidRPr="006B04A6">
              <w:rPr>
                <w:rFonts w:ascii="Times New Roman" w:eastAsia="Times New Roman" w:hAnsi="Times New Roman" w:cs="Times New Roman"/>
                <w:b/>
                <w:bCs/>
                <w:color w:val="FFFFFF"/>
                <w:sz w:val="18"/>
                <w:szCs w:val="18"/>
              </w:rPr>
              <w:t>TOTAL</w:t>
            </w:r>
          </w:p>
        </w:tc>
        <w:tc>
          <w:tcPr>
            <w:tcW w:w="1958"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179,439</w:t>
            </w:r>
          </w:p>
        </w:tc>
        <w:tc>
          <w:tcPr>
            <w:tcW w:w="1948"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11,385,435.00</w:t>
            </w:r>
          </w:p>
        </w:tc>
        <w:tc>
          <w:tcPr>
            <w:tcW w:w="1802"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165,699</w:t>
            </w:r>
          </w:p>
        </w:tc>
        <w:tc>
          <w:tcPr>
            <w:tcW w:w="1815"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10,539,711.00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Year 2017</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 </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 </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 </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 </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Kenya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109,160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7,249,038.00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106,660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7,100,276.00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Uganda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23,575</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1,336,948.00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23,216</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1,317,016.00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Rwanda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7,879</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532,319.50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6,819</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460,117.50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Burundi</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3,240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202,408.00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2,360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149,340.00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Tanzania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920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52,896.00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920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52,896.00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Dem Rep of Congo</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240</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14,172.00</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240</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14,172.00</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Mozambique</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r>
      <w:tr w:rsidR="006B04A6" w:rsidRPr="006B04A6" w:rsidTr="006B04A6">
        <w:tc>
          <w:tcPr>
            <w:tcW w:w="2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Ethiopia</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c>
          <w:tcPr>
            <w:tcW w:w="1815"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w:t>
            </w:r>
          </w:p>
        </w:tc>
      </w:tr>
      <w:tr w:rsidR="006B04A6" w:rsidRPr="006B04A6" w:rsidTr="006B04A6">
        <w:tc>
          <w:tcPr>
            <w:tcW w:w="2215" w:type="dxa"/>
            <w:tcBorders>
              <w:top w:val="nil"/>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both"/>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TOTAL</w:t>
            </w:r>
          </w:p>
        </w:tc>
        <w:tc>
          <w:tcPr>
            <w:tcW w:w="1958"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145,014</w:t>
            </w:r>
          </w:p>
        </w:tc>
        <w:tc>
          <w:tcPr>
            <w:tcW w:w="1948"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9,387,781.50</w:t>
            </w:r>
          </w:p>
        </w:tc>
        <w:tc>
          <w:tcPr>
            <w:tcW w:w="1802"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140,215</w:t>
            </w:r>
          </w:p>
        </w:tc>
        <w:tc>
          <w:tcPr>
            <w:tcW w:w="1815" w:type="dxa"/>
            <w:tcBorders>
              <w:top w:val="nil"/>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right"/>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9,093,817.50</w:t>
            </w:r>
          </w:p>
        </w:tc>
      </w:tr>
    </w:tbl>
    <w:p w:rsidR="006B04A6" w:rsidRPr="006B04A6" w:rsidRDefault="006B04A6" w:rsidP="000A2EF1">
      <w:pPr>
        <w:spacing w:after="0" w:line="240" w:lineRule="auto"/>
        <w:jc w:val="both"/>
        <w:rPr>
          <w:rFonts w:ascii="Times New Roman" w:eastAsia="Times New Roman" w:hAnsi="Times New Roman" w:cs="Times New Roman"/>
          <w:color w:val="000000"/>
          <w:sz w:val="18"/>
          <w:szCs w:val="18"/>
        </w:rPr>
      </w:pPr>
      <w:r w:rsidRPr="006B04A6">
        <w:rPr>
          <w:rFonts w:ascii="Times New Roman" w:eastAsia="Times New Roman" w:hAnsi="Times New Roman" w:cs="Times New Roman"/>
          <w:i/>
          <w:iCs/>
          <w:color w:val="000000"/>
          <w:sz w:val="18"/>
          <w:szCs w:val="18"/>
        </w:rPr>
        <w:t> (Inclusive of outlots from previous sales)</w:t>
      </w:r>
    </w:p>
    <w:p w:rsidR="000A2EF1" w:rsidRPr="00CC7972" w:rsidRDefault="000A2EF1" w:rsidP="000A2EF1">
      <w:pPr>
        <w:spacing w:after="0" w:line="240" w:lineRule="auto"/>
        <w:jc w:val="both"/>
        <w:rPr>
          <w:rFonts w:ascii="Times New Roman" w:eastAsia="Times New Roman" w:hAnsi="Times New Roman" w:cs="Times New Roman"/>
          <w:color w:val="000000"/>
          <w:sz w:val="18"/>
          <w:szCs w:val="18"/>
          <w:lang w:val="en-GB"/>
        </w:rPr>
      </w:pPr>
    </w:p>
    <w:p w:rsidR="004A5365" w:rsidRDefault="004A5365" w:rsidP="000A2EF1">
      <w:pPr>
        <w:spacing w:after="0" w:line="240" w:lineRule="auto"/>
        <w:jc w:val="both"/>
        <w:rPr>
          <w:rFonts w:ascii="Times New Roman" w:eastAsia="Times New Roman" w:hAnsi="Times New Roman" w:cs="Times New Roman"/>
          <w:color w:val="000000"/>
          <w:sz w:val="18"/>
          <w:szCs w:val="18"/>
          <w:lang w:val="en-GB"/>
        </w:rPr>
        <w:sectPr w:rsidR="004A5365" w:rsidSect="00CC7972">
          <w:type w:val="continuous"/>
          <w:pgSz w:w="12240" w:h="15840" w:code="1"/>
          <w:pgMar w:top="720" w:right="1440" w:bottom="864" w:left="1440" w:header="720" w:footer="720" w:gutter="0"/>
          <w:cols w:space="720"/>
          <w:docGrid w:linePitch="360"/>
        </w:sectPr>
      </w:pPr>
    </w:p>
    <w:p w:rsidR="004A5365" w:rsidRDefault="006B04A6" w:rsidP="000A2EF1">
      <w:pPr>
        <w:spacing w:after="0" w:line="240" w:lineRule="auto"/>
        <w:jc w:val="both"/>
        <w:rPr>
          <w:rFonts w:ascii="Times New Roman" w:eastAsia="Times New Roman" w:hAnsi="Times New Roman" w:cs="Times New Roman"/>
          <w:color w:val="000000"/>
          <w:sz w:val="18"/>
          <w:szCs w:val="18"/>
        </w:rPr>
        <w:sectPr w:rsidR="004A5365" w:rsidSect="004A5365">
          <w:type w:val="continuous"/>
          <w:pgSz w:w="12240" w:h="15840" w:code="1"/>
          <w:pgMar w:top="720" w:right="1440" w:bottom="864" w:left="1440" w:header="720" w:footer="720" w:gutter="0"/>
          <w:cols w:num="2" w:space="720"/>
          <w:docGrid w:linePitch="360"/>
        </w:sectPr>
      </w:pPr>
      <w:r w:rsidRPr="006B04A6">
        <w:rPr>
          <w:rFonts w:ascii="Times New Roman" w:eastAsia="Times New Roman" w:hAnsi="Times New Roman" w:cs="Times New Roman"/>
          <w:color w:val="000000"/>
          <w:sz w:val="18"/>
          <w:szCs w:val="18"/>
          <w:lang w:val="en-GB"/>
        </w:rPr>
        <w:lastRenderedPageBreak/>
        <w:t>Good and improved general demand for the 179,439 packages (</w:t>
      </w:r>
      <w:r w:rsidRPr="006B04A6">
        <w:rPr>
          <w:rFonts w:ascii="Times New Roman" w:eastAsia="Times New Roman" w:hAnsi="Times New Roman" w:cs="Times New Roman"/>
          <w:i/>
          <w:iCs/>
          <w:color w:val="000000"/>
          <w:sz w:val="18"/>
          <w:szCs w:val="18"/>
          <w:lang w:val="en-GB"/>
        </w:rPr>
        <w:t>11,385,435kilos</w:t>
      </w:r>
      <w:r w:rsidRPr="006B04A6">
        <w:rPr>
          <w:rFonts w:ascii="Times New Roman" w:eastAsia="Times New Roman" w:hAnsi="Times New Roman" w:cs="Times New Roman"/>
          <w:color w:val="000000"/>
          <w:sz w:val="18"/>
          <w:szCs w:val="18"/>
          <w:lang w:val="en-GB"/>
        </w:rPr>
        <w:t>) on offer closely following quality. 9.96% were neglected.</w:t>
      </w:r>
      <w:r w:rsidRPr="00CC7972">
        <w:rPr>
          <w:rFonts w:ascii="Times New Roman" w:eastAsia="Times New Roman" w:hAnsi="Times New Roman" w:cs="Times New Roman"/>
          <w:b/>
          <w:bCs/>
          <w:color w:val="000000"/>
          <w:sz w:val="18"/>
          <w:szCs w:val="18"/>
          <w:lang w:val="en-GB"/>
        </w:rPr>
        <w:t xml:space="preserve"> </w:t>
      </w:r>
      <w:r w:rsidRPr="006B04A6">
        <w:rPr>
          <w:rFonts w:ascii="Times New Roman" w:eastAsia="Times New Roman" w:hAnsi="Times New Roman" w:cs="Times New Roman"/>
          <w:b/>
          <w:bCs/>
          <w:color w:val="000000"/>
          <w:sz w:val="18"/>
          <w:szCs w:val="18"/>
          <w:lang w:val="en-GB"/>
        </w:rPr>
        <w:t>The best BP1s</w:t>
      </w:r>
      <w:r w:rsidRPr="00CC7972">
        <w:rPr>
          <w:rFonts w:ascii="Times New Roman" w:eastAsia="Times New Roman" w:hAnsi="Times New Roman" w:cs="Times New Roman"/>
          <w:color w:val="000000"/>
          <w:sz w:val="18"/>
          <w:szCs w:val="18"/>
          <w:lang w:val="en-GB"/>
        </w:rPr>
        <w:t> </w:t>
      </w:r>
      <w:r w:rsidRPr="006B04A6">
        <w:rPr>
          <w:rFonts w:ascii="Times New Roman" w:eastAsia="Times New Roman" w:hAnsi="Times New Roman" w:cs="Times New Roman"/>
          <w:color w:val="000000"/>
          <w:sz w:val="18"/>
          <w:szCs w:val="18"/>
          <w:lang w:val="en-GB"/>
        </w:rPr>
        <w:t>available appreciated by up to USC18 with brighter categories irregular and ranged between firm to USC8 dearer to easier by up to USC20 while medium sorts were irregular varying between firm to USC22 dearer to easier by a similar margin. Lower mediums saw an irregular interest ranging between USC6 to USC24 below last prices but improved lines were well competed for gaining USC6 to USC20 with plainer descriptions mostly easier by USC8 to USC12 and some teas were unsold but a few select improved lines gained up to USC20.</w:t>
      </w:r>
      <w:r w:rsidRPr="006B04A6">
        <w:rPr>
          <w:rFonts w:ascii="Times New Roman" w:eastAsia="Times New Roman" w:hAnsi="Times New Roman" w:cs="Times New Roman"/>
          <w:b/>
          <w:bCs/>
          <w:color w:val="000000"/>
          <w:sz w:val="18"/>
          <w:szCs w:val="18"/>
          <w:lang w:val="en-GB"/>
        </w:rPr>
        <w:t>Best PF1s</w:t>
      </w:r>
      <w:r w:rsidRPr="00CC7972">
        <w:rPr>
          <w:rFonts w:ascii="Times New Roman" w:eastAsia="Times New Roman" w:hAnsi="Times New Roman" w:cs="Times New Roman"/>
          <w:color w:val="000000"/>
          <w:sz w:val="18"/>
          <w:szCs w:val="18"/>
          <w:lang w:val="en-GB"/>
        </w:rPr>
        <w:t> </w:t>
      </w:r>
      <w:r w:rsidRPr="006B04A6">
        <w:rPr>
          <w:rFonts w:ascii="Times New Roman" w:eastAsia="Times New Roman" w:hAnsi="Times New Roman" w:cs="Times New Roman"/>
          <w:color w:val="000000"/>
          <w:sz w:val="18"/>
          <w:szCs w:val="18"/>
          <w:lang w:val="en-GB"/>
        </w:rPr>
        <w:t>in the market saw more competition appreciating by USC8 to USC28 while brighter varieties gained USC8 to USC14 with medium categories advancing by USC2 to USC14; lower mediums were irregular varying between firm to USC24 dearer to easier by up to USC15. Plainer types were a weak feature and met less enquiries and shed up to USC20 but a few improved invoices gained up to USC14.</w:t>
      </w:r>
      <w:r w:rsidRPr="006B04A6">
        <w:rPr>
          <w:rFonts w:ascii="Times New Roman" w:eastAsia="Times New Roman" w:hAnsi="Times New Roman" w:cs="Times New Roman"/>
          <w:b/>
          <w:bCs/>
          <w:color w:val="000000"/>
          <w:sz w:val="18"/>
          <w:szCs w:val="18"/>
          <w:lang w:val="en-GB"/>
        </w:rPr>
        <w:t>The best PDUSTs</w:t>
      </w:r>
      <w:r w:rsidRPr="00CC7972">
        <w:rPr>
          <w:rFonts w:ascii="Times New Roman" w:eastAsia="Times New Roman" w:hAnsi="Times New Roman" w:cs="Times New Roman"/>
          <w:color w:val="000000"/>
          <w:sz w:val="18"/>
          <w:szCs w:val="18"/>
          <w:lang w:val="en-GB"/>
        </w:rPr>
        <w:t> </w:t>
      </w:r>
      <w:r w:rsidRPr="006B04A6">
        <w:rPr>
          <w:rFonts w:ascii="Times New Roman" w:eastAsia="Times New Roman" w:hAnsi="Times New Roman" w:cs="Times New Roman"/>
          <w:color w:val="000000"/>
          <w:sz w:val="18"/>
          <w:szCs w:val="18"/>
          <w:lang w:val="en-GB"/>
        </w:rPr>
        <w:t xml:space="preserve">on offer gained USC22 while brighter varieties were firm to USC12 dearer with medium sorts irregular ranging between firm to USC20 above previous levels to </w:t>
      </w:r>
      <w:r w:rsidRPr="006B04A6">
        <w:rPr>
          <w:rFonts w:ascii="Times New Roman" w:eastAsia="Times New Roman" w:hAnsi="Times New Roman" w:cs="Times New Roman"/>
          <w:color w:val="000000"/>
          <w:sz w:val="18"/>
          <w:szCs w:val="18"/>
          <w:lang w:val="en-GB"/>
        </w:rPr>
        <w:lastRenderedPageBreak/>
        <w:t>easier by up to USC16; lower mediums varied between firm to USC10 dearer to easier by a similar rate with some teas remaining unsold. Plainer categories ranged between firm to USC4 dearer while improved lines gained further with quality but others were difficult of sale and discounted by USC5 to USC11 where sold.</w:t>
      </w:r>
      <w:r w:rsidRPr="00CC7972">
        <w:rPr>
          <w:rFonts w:ascii="Times New Roman" w:eastAsia="Times New Roman" w:hAnsi="Times New Roman" w:cs="Times New Roman"/>
          <w:color w:val="000000"/>
          <w:sz w:val="18"/>
          <w:szCs w:val="18"/>
          <w:lang w:val="en-GB"/>
        </w:rPr>
        <w:t> </w:t>
      </w:r>
      <w:r w:rsidRPr="006B04A6">
        <w:rPr>
          <w:rFonts w:ascii="Times New Roman" w:eastAsia="Times New Roman" w:hAnsi="Times New Roman" w:cs="Times New Roman"/>
          <w:b/>
          <w:bCs/>
          <w:color w:val="000000"/>
          <w:sz w:val="18"/>
          <w:szCs w:val="18"/>
          <w:lang w:val="en-GB"/>
        </w:rPr>
        <w:t>Best DUST1s</w:t>
      </w:r>
      <w:r w:rsidRPr="00CC7972">
        <w:rPr>
          <w:rFonts w:ascii="Times New Roman" w:eastAsia="Times New Roman" w:hAnsi="Times New Roman" w:cs="Times New Roman"/>
          <w:color w:val="000000"/>
          <w:sz w:val="18"/>
          <w:szCs w:val="18"/>
          <w:lang w:val="en-GB"/>
        </w:rPr>
        <w:t> </w:t>
      </w:r>
      <w:r w:rsidRPr="006B04A6">
        <w:rPr>
          <w:rFonts w:ascii="Times New Roman" w:eastAsia="Times New Roman" w:hAnsi="Times New Roman" w:cs="Times New Roman"/>
          <w:color w:val="000000"/>
          <w:sz w:val="18"/>
          <w:szCs w:val="18"/>
          <w:lang w:val="en-GB"/>
        </w:rPr>
        <w:t>on offer eased marginally while brighter varieties saw an irregular enquiry varying between USC7 dearer to mostly easier by up to USC6 with medium categories firm to USC18 dearer. Lower mediums varied between firm to USC10 dearer to easier by up to USC30 while plainer sorts advanced by USC2 to USC16 but plainest were difficult of sale.</w:t>
      </w:r>
      <w:r w:rsidRPr="00CC7972">
        <w:rPr>
          <w:rFonts w:ascii="Times New Roman" w:eastAsia="Times New Roman" w:hAnsi="Times New Roman" w:cs="Times New Roman"/>
          <w:color w:val="000000"/>
          <w:sz w:val="18"/>
          <w:szCs w:val="18"/>
        </w:rPr>
        <w:t xml:space="preserve"> </w:t>
      </w:r>
      <w:r w:rsidRPr="006B04A6">
        <w:rPr>
          <w:rFonts w:ascii="Times New Roman" w:eastAsia="Times New Roman" w:hAnsi="Times New Roman" w:cs="Times New Roman"/>
          <w:color w:val="000000"/>
          <w:sz w:val="18"/>
          <w:szCs w:val="18"/>
        </w:rPr>
        <w:t>In the secondary catalogues BPs appreciated while PFs were dearer. Clean well sorted coloury Fannings gained while similar DUSTs advanced. Other Fannings were steady while similar DUSTs held value. BMFs were well absorbed. Afghanistan was strong and dominant with more enquiries from Yemen, other Middle Eastern countries, Bazaar and Sudan. Egyptian Packers lent useful support.</w:t>
      </w:r>
      <w:r w:rsidRPr="00CC7972">
        <w:rPr>
          <w:rFonts w:ascii="Times New Roman" w:eastAsia="Times New Roman" w:hAnsi="Times New Roman" w:cs="Times New Roman"/>
          <w:color w:val="000000"/>
          <w:sz w:val="18"/>
          <w:szCs w:val="18"/>
        </w:rPr>
        <w:t xml:space="preserve"> </w:t>
      </w:r>
      <w:r w:rsidRPr="006B04A6">
        <w:rPr>
          <w:rFonts w:ascii="Times New Roman" w:eastAsia="Times New Roman" w:hAnsi="Times New Roman" w:cs="Times New Roman"/>
          <w:color w:val="000000"/>
          <w:sz w:val="18"/>
          <w:szCs w:val="18"/>
        </w:rPr>
        <w:t>Pakistan Packers, Kazakhstan, other CIS nations, Russia and UK maintained activity while Iran were less active. Somalia were active at the lower end of the market.</w:t>
      </w:r>
    </w:p>
    <w:p w:rsidR="006B04A6" w:rsidRPr="006B04A6" w:rsidRDefault="006B04A6" w:rsidP="000A2EF1">
      <w:pPr>
        <w:spacing w:after="0" w:line="240" w:lineRule="auto"/>
        <w:jc w:val="both"/>
        <w:rPr>
          <w:rFonts w:ascii="Times New Roman" w:eastAsia="Times New Roman" w:hAnsi="Times New Roman" w:cs="Times New Roman"/>
          <w:color w:val="000000"/>
          <w:sz w:val="18"/>
          <w:szCs w:val="18"/>
        </w:rPr>
      </w:pPr>
      <w:r w:rsidRPr="006B04A6">
        <w:rPr>
          <w:rFonts w:ascii="Times New Roman" w:eastAsia="Times New Roman" w:hAnsi="Times New Roman" w:cs="Times New Roman"/>
          <w:color w:val="000000"/>
          <w:sz w:val="18"/>
          <w:szCs w:val="18"/>
        </w:rPr>
        <w:lastRenderedPageBreak/>
        <w:t> </w:t>
      </w:r>
    </w:p>
    <w:tbl>
      <w:tblPr>
        <w:tblW w:w="0" w:type="auto"/>
        <w:tblInd w:w="108" w:type="dxa"/>
        <w:tblCellMar>
          <w:left w:w="0" w:type="dxa"/>
          <w:right w:w="0" w:type="dxa"/>
        </w:tblCellMar>
        <w:tblLook w:val="04A0"/>
      </w:tblPr>
      <w:tblGrid>
        <w:gridCol w:w="2142"/>
        <w:gridCol w:w="1831"/>
        <w:gridCol w:w="1832"/>
        <w:gridCol w:w="1831"/>
        <w:gridCol w:w="1832"/>
      </w:tblGrid>
      <w:tr w:rsidR="006B04A6" w:rsidRPr="006B04A6" w:rsidTr="006B04A6">
        <w:tc>
          <w:tcPr>
            <w:tcW w:w="2142" w:type="dxa"/>
            <w:tcBorders>
              <w:top w:val="single" w:sz="8" w:space="0" w:color="auto"/>
              <w:left w:val="single" w:sz="8" w:space="0" w:color="auto"/>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keepNext/>
              <w:spacing w:after="0" w:line="240" w:lineRule="auto"/>
              <w:jc w:val="center"/>
              <w:outlineLvl w:val="1"/>
              <w:rPr>
                <w:rFonts w:ascii="Times New Roman" w:eastAsia="Times New Roman" w:hAnsi="Times New Roman" w:cs="Times New Roman"/>
                <w:b/>
                <w:bCs/>
                <w:sz w:val="18"/>
                <w:szCs w:val="18"/>
                <w:u w:val="single"/>
              </w:rPr>
            </w:pPr>
            <w:r w:rsidRPr="006B04A6">
              <w:rPr>
                <w:rFonts w:ascii="Times New Roman" w:eastAsia="Times New Roman" w:hAnsi="Times New Roman" w:cs="Times New Roman"/>
                <w:b/>
                <w:bCs/>
                <w:color w:val="FFFFFF"/>
                <w:sz w:val="18"/>
                <w:szCs w:val="18"/>
              </w:rPr>
              <w:t>CTC QUOTATIONS</w:t>
            </w:r>
          </w:p>
        </w:tc>
        <w:tc>
          <w:tcPr>
            <w:tcW w:w="1831" w:type="dxa"/>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BP1 – USC</w:t>
            </w:r>
          </w:p>
        </w:tc>
        <w:tc>
          <w:tcPr>
            <w:tcW w:w="1832" w:type="dxa"/>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PF1 – USC</w:t>
            </w:r>
          </w:p>
        </w:tc>
        <w:tc>
          <w:tcPr>
            <w:tcW w:w="1831" w:type="dxa"/>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PD – USC</w:t>
            </w:r>
          </w:p>
        </w:tc>
        <w:tc>
          <w:tcPr>
            <w:tcW w:w="1832" w:type="dxa"/>
            <w:tcBorders>
              <w:top w:val="single" w:sz="8" w:space="0" w:color="auto"/>
              <w:left w:val="nil"/>
              <w:bottom w:val="single" w:sz="8" w:space="0" w:color="auto"/>
              <w:right w:val="single" w:sz="8" w:space="0" w:color="auto"/>
            </w:tcBorders>
            <w:shd w:val="clear" w:color="auto" w:fill="008000"/>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b/>
                <w:bCs/>
                <w:color w:val="FFFFFF"/>
                <w:sz w:val="18"/>
                <w:szCs w:val="18"/>
              </w:rPr>
              <w:t>D1 - USC</w:t>
            </w:r>
          </w:p>
        </w:tc>
      </w:tr>
      <w:tr w:rsidR="006B04A6" w:rsidRPr="006B04A6" w:rsidTr="006B04A6">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keepNext/>
              <w:spacing w:after="0" w:line="240" w:lineRule="auto"/>
              <w:outlineLvl w:val="1"/>
              <w:rPr>
                <w:rFonts w:ascii="Times New Roman" w:eastAsia="Times New Roman" w:hAnsi="Times New Roman" w:cs="Times New Roman"/>
                <w:b/>
                <w:bCs/>
                <w:sz w:val="18"/>
                <w:szCs w:val="18"/>
                <w:u w:val="single"/>
              </w:rPr>
            </w:pPr>
            <w:r w:rsidRPr="006B04A6">
              <w:rPr>
                <w:rFonts w:ascii="Times New Roman" w:eastAsia="Times New Roman" w:hAnsi="Times New Roman" w:cs="Times New Roman"/>
                <w:b/>
                <w:bCs/>
                <w:sz w:val="18"/>
                <w:szCs w:val="18"/>
              </w:rPr>
              <w:t>Best</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315 – 436</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322 – 386</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345 – 393</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345 – 420</w:t>
            </w:r>
          </w:p>
        </w:tc>
      </w:tr>
      <w:tr w:rsidR="006B04A6" w:rsidRPr="006B04A6" w:rsidTr="006B04A6">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Good</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300 – 352</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312 – 356</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340 – 362</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335 – 368</w:t>
            </w:r>
          </w:p>
        </w:tc>
      </w:tr>
      <w:tr w:rsidR="006B04A6" w:rsidRPr="006B04A6" w:rsidTr="006B04A6">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Good Medium</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300 – 362</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305 – 362</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340 – 360</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329 – 370</w:t>
            </w:r>
          </w:p>
        </w:tc>
      </w:tr>
      <w:tr w:rsidR="006B04A6" w:rsidRPr="006B04A6" w:rsidTr="006B04A6">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Medium</w:t>
            </w:r>
          </w:p>
        </w:tc>
        <w:tc>
          <w:tcPr>
            <w:tcW w:w="18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255 – 340</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265 – 310</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310 – 352</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287 – 344</w:t>
            </w:r>
          </w:p>
        </w:tc>
      </w:tr>
      <w:tr w:rsidR="006B04A6" w:rsidRPr="006B04A6" w:rsidTr="006B04A6">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Lower Medium</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168 – 282</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167 – 278</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200 – 312</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200 – 314</w:t>
            </w:r>
          </w:p>
        </w:tc>
      </w:tr>
      <w:tr w:rsidR="006B04A6" w:rsidRPr="006B04A6" w:rsidTr="006B04A6">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rPr>
                <w:rFonts w:ascii="Times New Roman" w:eastAsia="Times New Roman" w:hAnsi="Times New Roman" w:cs="Times New Roman"/>
                <w:sz w:val="18"/>
                <w:szCs w:val="18"/>
              </w:rPr>
            </w:pPr>
            <w:r w:rsidRPr="006B04A6">
              <w:rPr>
                <w:rFonts w:ascii="Times New Roman" w:eastAsia="Times New Roman" w:hAnsi="Times New Roman" w:cs="Times New Roman"/>
                <w:b/>
                <w:bCs/>
                <w:sz w:val="18"/>
                <w:szCs w:val="18"/>
              </w:rPr>
              <w:t>Plainer</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150 – 192</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150 – 248</w:t>
            </w:r>
          </w:p>
        </w:tc>
        <w:tc>
          <w:tcPr>
            <w:tcW w:w="1831"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150 – 270</w:t>
            </w:r>
          </w:p>
        </w:tc>
        <w:tc>
          <w:tcPr>
            <w:tcW w:w="1832" w:type="dxa"/>
            <w:tcBorders>
              <w:top w:val="nil"/>
              <w:left w:val="nil"/>
              <w:bottom w:val="single" w:sz="8" w:space="0" w:color="auto"/>
              <w:right w:val="single" w:sz="8" w:space="0" w:color="auto"/>
            </w:tcBorders>
            <w:tcMar>
              <w:top w:w="0" w:type="dxa"/>
              <w:left w:w="108" w:type="dxa"/>
              <w:bottom w:w="0" w:type="dxa"/>
              <w:right w:w="108" w:type="dxa"/>
            </w:tcMar>
            <w:hideMark/>
          </w:tcPr>
          <w:p w:rsidR="006B04A6" w:rsidRPr="006B04A6" w:rsidRDefault="006B04A6" w:rsidP="000A2EF1">
            <w:pPr>
              <w:spacing w:after="0" w:line="240" w:lineRule="auto"/>
              <w:jc w:val="center"/>
              <w:rPr>
                <w:rFonts w:ascii="Times New Roman" w:eastAsia="Times New Roman" w:hAnsi="Times New Roman" w:cs="Times New Roman"/>
                <w:sz w:val="18"/>
                <w:szCs w:val="18"/>
              </w:rPr>
            </w:pPr>
            <w:r w:rsidRPr="006B04A6">
              <w:rPr>
                <w:rFonts w:ascii="Times New Roman" w:eastAsia="Times New Roman" w:hAnsi="Times New Roman" w:cs="Times New Roman"/>
                <w:sz w:val="18"/>
                <w:szCs w:val="18"/>
              </w:rPr>
              <w:t>156 – 271</w:t>
            </w:r>
          </w:p>
        </w:tc>
      </w:tr>
    </w:tbl>
    <w:p w:rsidR="006B04A6" w:rsidRPr="00CC7972" w:rsidRDefault="006B04A6" w:rsidP="000A2EF1">
      <w:pPr>
        <w:spacing w:after="0" w:line="240" w:lineRule="auto"/>
        <w:jc w:val="right"/>
        <w:rPr>
          <w:rFonts w:ascii="Times New Roman" w:hAnsi="Times New Roman" w:cs="Times New Roman"/>
          <w:sz w:val="18"/>
          <w:szCs w:val="18"/>
        </w:rPr>
      </w:pPr>
      <w:r w:rsidRPr="00CC7972">
        <w:rPr>
          <w:rFonts w:ascii="Times New Roman" w:eastAsia="Times New Roman" w:hAnsi="Times New Roman" w:cs="Times New Roman"/>
          <w:color w:val="000000"/>
          <w:sz w:val="18"/>
          <w:szCs w:val="18"/>
          <w:lang w:val="en-GB"/>
        </w:rPr>
        <w:t>  </w:t>
      </w:r>
      <w:r w:rsidRPr="00CC7972">
        <w:rPr>
          <w:rFonts w:ascii="Times New Roman" w:eastAsia="Times New Roman" w:hAnsi="Times New Roman" w:cs="Times New Roman"/>
          <w:i/>
          <w:iCs/>
          <w:color w:val="000000"/>
          <w:sz w:val="18"/>
          <w:szCs w:val="18"/>
        </w:rPr>
        <w:t> </w:t>
      </w:r>
      <w:r w:rsidRPr="00CC7972">
        <w:rPr>
          <w:rFonts w:ascii="Times New Roman" w:hAnsi="Times New Roman" w:cs="Times New Roman"/>
          <w:sz w:val="18"/>
          <w:szCs w:val="18"/>
        </w:rPr>
        <w:t>(Source: “ATBL”)</w:t>
      </w:r>
    </w:p>
    <w:p w:rsidR="004A5365" w:rsidRDefault="004A5365" w:rsidP="000A2EF1">
      <w:pPr>
        <w:spacing w:after="0" w:line="240" w:lineRule="auto"/>
        <w:rPr>
          <w:rFonts w:ascii="Times New Roman" w:hAnsi="Times New Roman" w:cs="Times New Roman"/>
          <w:sz w:val="13"/>
          <w:szCs w:val="13"/>
        </w:rPr>
      </w:pPr>
    </w:p>
    <w:p w:rsidR="006B04A6" w:rsidRPr="004A5365" w:rsidRDefault="006B04A6" w:rsidP="000A2EF1">
      <w:pPr>
        <w:spacing w:after="0" w:line="240" w:lineRule="auto"/>
        <w:rPr>
          <w:rFonts w:ascii="Times New Roman" w:hAnsi="Times New Roman" w:cs="Times New Roman"/>
          <w:sz w:val="13"/>
          <w:szCs w:val="13"/>
        </w:rPr>
      </w:pPr>
      <w:r w:rsidRPr="004A5365">
        <w:rPr>
          <w:rFonts w:ascii="Times New Roman" w:hAnsi="Times New Roman" w:cs="Times New Roman"/>
          <w:sz w:val="13"/>
          <w:szCs w:val="13"/>
        </w:rPr>
        <w:lastRenderedPageBreak/>
        <w:t xml:space="preserve">January 20, 2018           </w:t>
      </w:r>
      <w:r w:rsidR="004A5365">
        <w:rPr>
          <w:rFonts w:ascii="Times New Roman" w:hAnsi="Times New Roman" w:cs="Times New Roman"/>
          <w:sz w:val="13"/>
          <w:szCs w:val="13"/>
        </w:rPr>
        <w:t xml:space="preserve">                                                                                    </w:t>
      </w:r>
      <w:r w:rsidRPr="004A5365">
        <w:rPr>
          <w:rFonts w:ascii="Times New Roman" w:hAnsi="Times New Roman" w:cs="Times New Roman"/>
          <w:sz w:val="13"/>
          <w:szCs w:val="13"/>
        </w:rPr>
        <w:t xml:space="preserve">  </w:t>
      </w:r>
      <w:r w:rsidR="004A5365" w:rsidRPr="004A5365">
        <w:rPr>
          <w:rFonts w:ascii="Times New Roman" w:hAnsi="Times New Roman" w:cs="Times New Roman"/>
          <w:sz w:val="13"/>
          <w:szCs w:val="13"/>
        </w:rPr>
        <w:t xml:space="preserve">                                                             </w:t>
      </w:r>
      <w:r w:rsidRPr="004A5365">
        <w:rPr>
          <w:rFonts w:ascii="Times New Roman" w:hAnsi="Times New Roman" w:cs="Times New Roman"/>
          <w:sz w:val="13"/>
          <w:szCs w:val="13"/>
        </w:rPr>
        <w:t xml:space="preserve">                                           PRODUCE BROKERS LIMITED</w:t>
      </w:r>
    </w:p>
    <w:p w:rsidR="006B04A6" w:rsidRPr="004A5365" w:rsidRDefault="006B04A6" w:rsidP="00CC7972">
      <w:pPr>
        <w:spacing w:after="0" w:line="240" w:lineRule="auto"/>
        <w:jc w:val="center"/>
        <w:rPr>
          <w:rFonts w:ascii="Times New Roman" w:hAnsi="Times New Roman" w:cs="Times New Roman"/>
          <w:color w:val="6FAC46"/>
          <w:sz w:val="13"/>
          <w:szCs w:val="13"/>
          <w:u w:val="single" w:color="6FAC46"/>
        </w:rPr>
      </w:pPr>
      <w:r w:rsidRPr="004A5365">
        <w:rPr>
          <w:rFonts w:ascii="Times New Roman" w:hAnsi="Times New Roman" w:cs="Times New Roman"/>
          <w:color w:val="6FAC46"/>
          <w:sz w:val="13"/>
          <w:szCs w:val="13"/>
          <w:u w:val="single" w:color="6FAC46"/>
        </w:rPr>
        <w:t>OTHER MARKETS</w:t>
      </w:r>
    </w:p>
    <w:p w:rsidR="000A2EF1" w:rsidRPr="004A5365" w:rsidRDefault="000A2EF1" w:rsidP="00CC7972">
      <w:pPr>
        <w:spacing w:after="0" w:line="240" w:lineRule="auto"/>
        <w:ind w:left="258"/>
        <w:jc w:val="center"/>
        <w:rPr>
          <w:rFonts w:ascii="Times New Roman" w:hAnsi="Times New Roman" w:cs="Times New Roman"/>
          <w:b/>
          <w:color w:val="6FAC46"/>
          <w:sz w:val="13"/>
          <w:szCs w:val="13"/>
          <w:u w:val="single" w:color="6FAC46"/>
        </w:rPr>
      </w:pPr>
      <w:r w:rsidRPr="004A5365">
        <w:rPr>
          <w:rFonts w:ascii="Times New Roman" w:hAnsi="Times New Roman" w:cs="Times New Roman"/>
          <w:b/>
          <w:color w:val="6FAC46"/>
          <w:sz w:val="13"/>
          <w:szCs w:val="13"/>
          <w:u w:val="single" w:color="6FAC46"/>
        </w:rPr>
        <w:t>Tea Market Report 15 – 19 January 2018 of Week 03</w:t>
      </w:r>
    </w:p>
    <w:p w:rsidR="006B04A6" w:rsidRPr="004A5365" w:rsidRDefault="006B04A6" w:rsidP="000A2EF1">
      <w:pPr>
        <w:spacing w:after="0" w:line="240" w:lineRule="auto"/>
        <w:rPr>
          <w:rFonts w:ascii="Times New Roman" w:hAnsi="Times New Roman" w:cs="Times New Roman"/>
          <w:color w:val="6FAC46"/>
          <w:sz w:val="13"/>
          <w:szCs w:val="13"/>
          <w:u w:val="single" w:color="6FAC46"/>
        </w:rPr>
      </w:pPr>
    </w:p>
    <w:p w:rsidR="004A5365" w:rsidRPr="004A5365" w:rsidRDefault="004A5365" w:rsidP="000A2EF1">
      <w:pPr>
        <w:pStyle w:val="BodyText"/>
        <w:spacing w:before="0" w:beforeAutospacing="0" w:after="0" w:afterAutospacing="0"/>
        <w:ind w:right="103"/>
        <w:jc w:val="both"/>
        <w:rPr>
          <w:sz w:val="13"/>
          <w:szCs w:val="13"/>
        </w:rPr>
        <w:sectPr w:rsidR="004A5365" w:rsidRPr="004A5365" w:rsidSect="00CC7972">
          <w:type w:val="continuous"/>
          <w:pgSz w:w="12240" w:h="15840" w:code="1"/>
          <w:pgMar w:top="720" w:right="1440" w:bottom="864" w:left="1440" w:header="720" w:footer="720" w:gutter="0"/>
          <w:cols w:space="720"/>
          <w:docGrid w:linePitch="360"/>
        </w:sectPr>
      </w:pPr>
    </w:p>
    <w:p w:rsidR="000A2EF1" w:rsidRPr="004A5365" w:rsidRDefault="000A2EF1" w:rsidP="000A2EF1">
      <w:pPr>
        <w:pStyle w:val="BodyText"/>
        <w:spacing w:before="0" w:beforeAutospacing="0" w:after="0" w:afterAutospacing="0"/>
        <w:ind w:right="103"/>
        <w:jc w:val="both"/>
        <w:rPr>
          <w:sz w:val="13"/>
          <w:szCs w:val="13"/>
        </w:rPr>
      </w:pPr>
      <w:r w:rsidRPr="004A5365">
        <w:rPr>
          <w:sz w:val="13"/>
          <w:szCs w:val="13"/>
        </w:rPr>
        <w:lastRenderedPageBreak/>
        <w:t>The largest auction of the year took place in Mombasa this week at 179k packages, which was met with good overall demand; less than 10% of teas were withdrawn. PF1’s were the highlight of the show, generally gaining around 10cts, other teas met irregular rates. Auction quantities begin to decrease in the coming weeks, remaining over 160k in the next two weeks, then dropping to 154k. Weather conditions continue into a seasonally sunny, warm and dry period, driving the downward supply slope. In Malawi, only BP1, PF1 Sc, PF1 Seedling and off grade fannings/dust were on offer, of which 1200 packages were sold. Auction quantities remain sparse and limited, for which forward/direct contract fulfillment and weather conditions seem to be responsible. A recent prolonged dry spell has had concerning effects on crop, bolstered by fall army worms continuing to cause havoc in some areas. None the less, the rains appear to be coming, and crop is   on the up and</w:t>
      </w:r>
      <w:r w:rsidRPr="004A5365">
        <w:rPr>
          <w:spacing w:val="-8"/>
          <w:sz w:val="13"/>
          <w:szCs w:val="13"/>
        </w:rPr>
        <w:t xml:space="preserve"> </w:t>
      </w:r>
      <w:r w:rsidRPr="004A5365">
        <w:rPr>
          <w:sz w:val="13"/>
          <w:szCs w:val="13"/>
        </w:rPr>
        <w:t>up. The market in Colombo did not cool off this week, excellent demand continued, led by Russia, with many teas jumping up 20-30cts. Not only is the persistent demand supporting the rising values, but crop supply is emerging on a disappointing note this year, as very cold nights and hot bright days are insistent, with little to no rain. Overall, long terms effects on supply exist beyond the current weather conditions, including residual effects from a prolonged drought at the end of 2016 and more limited usage of plant control products; outcomes therefore become more dependent on labour availability. In Jakarta, the market met fair demand for 12,840 packages, 21% remain unsold, at all around firm to dearer rates. Many teas were left unsold because of producer price limitations being increased, which were not accepted by buyers. Precipitation continues, albeit less sunshine; crop level is being maintained. North Indian markets generally met fair demand, except for in the Kolkata orthodox market. No sale will take place next week due to holidays, sale 4 will take place January 30</w:t>
      </w:r>
      <w:r w:rsidRPr="004A5365">
        <w:rPr>
          <w:position w:val="6"/>
          <w:sz w:val="13"/>
          <w:szCs w:val="13"/>
        </w:rPr>
        <w:t>th</w:t>
      </w:r>
      <w:r w:rsidRPr="004A5365">
        <w:rPr>
          <w:sz w:val="13"/>
          <w:szCs w:val="13"/>
        </w:rPr>
        <w:t>, sale 5 is cancelled, and sale 6 will take place February 6</w:t>
      </w:r>
      <w:r w:rsidRPr="004A5365">
        <w:rPr>
          <w:position w:val="6"/>
          <w:sz w:val="13"/>
          <w:szCs w:val="13"/>
        </w:rPr>
        <w:t>th</w:t>
      </w:r>
      <w:r w:rsidRPr="004A5365">
        <w:rPr>
          <w:sz w:val="13"/>
          <w:szCs w:val="13"/>
        </w:rPr>
        <w:t>. South India markets in Coonoor and Cochin met good demand, most teas advanced, with the exception of Coimbatore, where the market met fair demand. Conditions remain cloudy and wintery. In Vietnam, sunshine, light rain, and mild winter conditions give hope that spring season</w:t>
      </w:r>
      <w:r w:rsidRPr="004A5365">
        <w:rPr>
          <w:spacing w:val="-3"/>
          <w:sz w:val="13"/>
          <w:szCs w:val="13"/>
        </w:rPr>
        <w:t xml:space="preserve"> </w:t>
      </w:r>
      <w:r w:rsidRPr="004A5365">
        <w:rPr>
          <w:sz w:val="13"/>
          <w:szCs w:val="13"/>
        </w:rPr>
        <w:t>could</w:t>
      </w:r>
      <w:r w:rsidRPr="004A5365">
        <w:rPr>
          <w:spacing w:val="-2"/>
          <w:sz w:val="13"/>
          <w:szCs w:val="13"/>
        </w:rPr>
        <w:t xml:space="preserve"> </w:t>
      </w:r>
      <w:r w:rsidRPr="004A5365">
        <w:rPr>
          <w:sz w:val="13"/>
          <w:szCs w:val="13"/>
        </w:rPr>
        <w:t>be coming</w:t>
      </w:r>
      <w:r w:rsidRPr="004A5365">
        <w:rPr>
          <w:spacing w:val="-1"/>
          <w:sz w:val="13"/>
          <w:szCs w:val="13"/>
        </w:rPr>
        <w:t xml:space="preserve"> </w:t>
      </w:r>
      <w:r w:rsidRPr="004A5365">
        <w:rPr>
          <w:sz w:val="13"/>
          <w:szCs w:val="13"/>
        </w:rPr>
        <w:t>in</w:t>
      </w:r>
      <w:r w:rsidRPr="004A5365">
        <w:rPr>
          <w:spacing w:val="-3"/>
          <w:sz w:val="13"/>
          <w:szCs w:val="13"/>
        </w:rPr>
        <w:t xml:space="preserve"> </w:t>
      </w:r>
      <w:r w:rsidRPr="004A5365">
        <w:rPr>
          <w:sz w:val="13"/>
          <w:szCs w:val="13"/>
        </w:rPr>
        <w:t>March.</w:t>
      </w:r>
      <w:r w:rsidRPr="004A5365">
        <w:rPr>
          <w:spacing w:val="-4"/>
          <w:sz w:val="13"/>
          <w:szCs w:val="13"/>
        </w:rPr>
        <w:t xml:space="preserve"> </w:t>
      </w:r>
      <w:r w:rsidRPr="004A5365">
        <w:rPr>
          <w:sz w:val="13"/>
          <w:szCs w:val="13"/>
        </w:rPr>
        <w:t>Until</w:t>
      </w:r>
      <w:r w:rsidRPr="004A5365">
        <w:rPr>
          <w:spacing w:val="-2"/>
          <w:sz w:val="13"/>
          <w:szCs w:val="13"/>
        </w:rPr>
        <w:t xml:space="preserve"> </w:t>
      </w:r>
      <w:r w:rsidRPr="004A5365">
        <w:rPr>
          <w:sz w:val="13"/>
          <w:szCs w:val="13"/>
        </w:rPr>
        <w:t>then</w:t>
      </w:r>
      <w:r w:rsidRPr="004A5365">
        <w:rPr>
          <w:spacing w:val="-3"/>
          <w:sz w:val="13"/>
          <w:szCs w:val="13"/>
        </w:rPr>
        <w:t xml:space="preserve"> </w:t>
      </w:r>
      <w:r w:rsidRPr="004A5365">
        <w:rPr>
          <w:sz w:val="13"/>
          <w:szCs w:val="13"/>
        </w:rPr>
        <w:t>open</w:t>
      </w:r>
      <w:r w:rsidRPr="004A5365">
        <w:rPr>
          <w:spacing w:val="-3"/>
          <w:sz w:val="13"/>
          <w:szCs w:val="13"/>
        </w:rPr>
        <w:t xml:space="preserve"> </w:t>
      </w:r>
      <w:r w:rsidRPr="004A5365">
        <w:rPr>
          <w:sz w:val="13"/>
          <w:szCs w:val="13"/>
        </w:rPr>
        <w:t>contracts</w:t>
      </w:r>
      <w:r w:rsidRPr="004A5365">
        <w:rPr>
          <w:spacing w:val="-4"/>
          <w:sz w:val="13"/>
          <w:szCs w:val="13"/>
        </w:rPr>
        <w:t xml:space="preserve"> </w:t>
      </w:r>
      <w:r w:rsidRPr="004A5365">
        <w:rPr>
          <w:sz w:val="13"/>
          <w:szCs w:val="13"/>
        </w:rPr>
        <w:t>are still</w:t>
      </w:r>
      <w:r w:rsidRPr="004A5365">
        <w:rPr>
          <w:spacing w:val="-2"/>
          <w:sz w:val="13"/>
          <w:szCs w:val="13"/>
        </w:rPr>
        <w:t xml:space="preserve"> </w:t>
      </w:r>
      <w:r w:rsidRPr="004A5365">
        <w:rPr>
          <w:sz w:val="13"/>
          <w:szCs w:val="13"/>
        </w:rPr>
        <w:t>being</w:t>
      </w:r>
      <w:r w:rsidRPr="004A5365">
        <w:rPr>
          <w:spacing w:val="-1"/>
          <w:sz w:val="13"/>
          <w:szCs w:val="13"/>
        </w:rPr>
        <w:t xml:space="preserve"> </w:t>
      </w:r>
      <w:r w:rsidRPr="004A5365">
        <w:rPr>
          <w:sz w:val="13"/>
          <w:szCs w:val="13"/>
        </w:rPr>
        <w:t>fulfilled,</w:t>
      </w:r>
      <w:r w:rsidRPr="004A5365">
        <w:rPr>
          <w:spacing w:val="-7"/>
          <w:sz w:val="13"/>
          <w:szCs w:val="13"/>
        </w:rPr>
        <w:t xml:space="preserve"> </w:t>
      </w:r>
      <w:r w:rsidRPr="004A5365">
        <w:rPr>
          <w:sz w:val="13"/>
          <w:szCs w:val="13"/>
        </w:rPr>
        <w:t>and</w:t>
      </w:r>
      <w:r w:rsidRPr="004A5365">
        <w:rPr>
          <w:spacing w:val="-2"/>
          <w:sz w:val="13"/>
          <w:szCs w:val="13"/>
        </w:rPr>
        <w:t xml:space="preserve"> </w:t>
      </w:r>
      <w:r w:rsidRPr="004A5365">
        <w:rPr>
          <w:sz w:val="13"/>
          <w:szCs w:val="13"/>
        </w:rPr>
        <w:t>prices</w:t>
      </w:r>
      <w:r w:rsidRPr="004A5365">
        <w:rPr>
          <w:spacing w:val="-4"/>
          <w:sz w:val="13"/>
          <w:szCs w:val="13"/>
        </w:rPr>
        <w:t xml:space="preserve"> </w:t>
      </w:r>
      <w:r w:rsidRPr="004A5365">
        <w:rPr>
          <w:sz w:val="13"/>
          <w:szCs w:val="13"/>
        </w:rPr>
        <w:t>remain</w:t>
      </w:r>
      <w:r w:rsidRPr="004A5365">
        <w:rPr>
          <w:spacing w:val="-3"/>
          <w:sz w:val="13"/>
          <w:szCs w:val="13"/>
        </w:rPr>
        <w:t xml:space="preserve"> </w:t>
      </w:r>
      <w:r w:rsidRPr="004A5365">
        <w:rPr>
          <w:sz w:val="13"/>
          <w:szCs w:val="13"/>
        </w:rPr>
        <w:t>firm</w:t>
      </w:r>
      <w:r w:rsidRPr="004A5365">
        <w:rPr>
          <w:spacing w:val="-5"/>
          <w:sz w:val="13"/>
          <w:szCs w:val="13"/>
        </w:rPr>
        <w:t xml:space="preserve"> </w:t>
      </w:r>
      <w:r w:rsidRPr="004A5365">
        <w:rPr>
          <w:sz w:val="13"/>
          <w:szCs w:val="13"/>
        </w:rPr>
        <w:t>to dearer.</w:t>
      </w:r>
      <w:r w:rsidRPr="004A5365">
        <w:rPr>
          <w:i/>
          <w:sz w:val="13"/>
          <w:szCs w:val="13"/>
        </w:rPr>
        <w:t xml:space="preserve">“Nothing is permanent in this wicked world - not even our troubles.” – </w:t>
      </w:r>
      <w:r w:rsidRPr="004A5365">
        <w:rPr>
          <w:sz w:val="13"/>
          <w:szCs w:val="13"/>
        </w:rPr>
        <w:t>Charlie Chaplin.</w:t>
      </w:r>
    </w:p>
    <w:p w:rsidR="000A2EF1" w:rsidRPr="004A5365" w:rsidRDefault="000A2EF1" w:rsidP="000A2EF1">
      <w:pPr>
        <w:pStyle w:val="BodyText"/>
        <w:spacing w:before="0" w:beforeAutospacing="0" w:after="0" w:afterAutospacing="0"/>
        <w:jc w:val="both"/>
        <w:rPr>
          <w:b/>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rPr>
        <w:t xml:space="preserve">KENYA </w:t>
      </w:r>
      <w:r w:rsidRPr="004A5365">
        <w:rPr>
          <w:i/>
          <w:sz w:val="13"/>
          <w:szCs w:val="13"/>
          <w:u w:val="single"/>
        </w:rPr>
        <w:t>Auction</w:t>
      </w:r>
      <w:r w:rsidRPr="004A5365">
        <w:rPr>
          <w:i/>
          <w:sz w:val="13"/>
          <w:szCs w:val="13"/>
        </w:rPr>
        <w:t xml:space="preserve"> – </w:t>
      </w:r>
      <w:r w:rsidRPr="004A5365">
        <w:rPr>
          <w:sz w:val="13"/>
          <w:szCs w:val="13"/>
        </w:rPr>
        <w:t>Good general demand. Best BP1 sold irregularly firm with select best dearer, below best steady to 5cts easier, good mediums firm to 10cts dearer, mediums steady to 20cts easier, and plainer types steady to easier. PF1 sold firm to dearer, best up to 8cts, below best 12cts, good mediums 10cts, mediums 8cts, and plainer types irregularly steady to easier. Best PD sold irregularly steady with select lines dearer, below best steady to 8cts easier, good mediums steady to 7cts easier, mediums steady to easier with better sorts dearer, and plainer types sold firm to 4cts dearer. Best D1 sold firm to dearer, below best steady to easier, good mediums firm to dearer, mediums steady to 8cts easier, and plainer types firm to 5cts dearer.</w:t>
      </w:r>
      <w:r w:rsidRPr="004A5365">
        <w:rPr>
          <w:i/>
          <w:sz w:val="13"/>
          <w:szCs w:val="13"/>
          <w:u w:val="single"/>
        </w:rPr>
        <w:t xml:space="preserve"> Demand</w:t>
      </w:r>
      <w:r w:rsidRPr="004A5365">
        <w:rPr>
          <w:i/>
          <w:sz w:val="13"/>
          <w:szCs w:val="13"/>
        </w:rPr>
        <w:t xml:space="preserve"> </w:t>
      </w:r>
      <w:r w:rsidRPr="004A5365">
        <w:rPr>
          <w:sz w:val="13"/>
          <w:szCs w:val="13"/>
        </w:rPr>
        <w:t>– There was strong and dominant activity from Afghanistan while Bazar, Egypt, Sudan and Yemen were more active. Activity from Pakistan packers and UK was maintained with Kazak and Russia operating. Somalia and Iran were slower.</w:t>
      </w:r>
      <w:r w:rsidRPr="004A5365">
        <w:rPr>
          <w:i/>
          <w:sz w:val="13"/>
          <w:szCs w:val="13"/>
          <w:u w:val="single"/>
        </w:rPr>
        <w:t xml:space="preserve"> Weather</w:t>
      </w:r>
      <w:r w:rsidRPr="004A5365">
        <w:rPr>
          <w:i/>
          <w:sz w:val="13"/>
          <w:szCs w:val="13"/>
        </w:rPr>
        <w:t xml:space="preserve"> </w:t>
      </w:r>
      <w:r w:rsidRPr="004A5365">
        <w:rPr>
          <w:sz w:val="13"/>
          <w:szCs w:val="13"/>
        </w:rPr>
        <w:t>– East of Rift: hot and dry with just a trace of rain in some areas. Crop maintained in areas near Nairobi but reducing further north. West of Rift: warm sunny conditions, crop maintained. Some rainfall in Sotik with warm temperatures; crop maintained.</w:t>
      </w:r>
    </w:p>
    <w:p w:rsidR="000A2EF1" w:rsidRPr="004A5365" w:rsidRDefault="000A2EF1" w:rsidP="000A2EF1">
      <w:pPr>
        <w:pStyle w:val="BodyText"/>
        <w:spacing w:before="0" w:beforeAutospacing="0" w:after="0" w:afterAutospacing="0"/>
        <w:jc w:val="both"/>
        <w:rPr>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rPr>
        <w:t xml:space="preserve">MALAWI </w:t>
      </w:r>
      <w:r w:rsidRPr="004A5365">
        <w:rPr>
          <w:i/>
          <w:sz w:val="13"/>
          <w:szCs w:val="13"/>
          <w:u w:val="single"/>
        </w:rPr>
        <w:t>Auction</w:t>
      </w:r>
      <w:r w:rsidRPr="004A5365">
        <w:rPr>
          <w:i/>
          <w:sz w:val="13"/>
          <w:szCs w:val="13"/>
        </w:rPr>
        <w:t xml:space="preserve"> – </w:t>
      </w:r>
      <w:r w:rsidRPr="004A5365">
        <w:rPr>
          <w:sz w:val="13"/>
          <w:szCs w:val="13"/>
        </w:rPr>
        <w:t>Good demand for selective, available grades. BP1 met good demand 1-2cts dearer. PF1sc taken out with a majority under bid. PF1 Seedling firm to 1cts dearer, for the few lots sold. No  PF, PD, or D1 were on offer. Offgrade fannings met improved demand, 8cts dearer, and offgrade dust gained 3cts for the few lots on offer.</w:t>
      </w:r>
      <w:r w:rsidRPr="004A5365">
        <w:rPr>
          <w:i/>
          <w:sz w:val="13"/>
          <w:szCs w:val="13"/>
          <w:u w:val="single"/>
        </w:rPr>
        <w:t>Weather</w:t>
      </w:r>
      <w:r w:rsidRPr="004A5365">
        <w:rPr>
          <w:i/>
          <w:sz w:val="13"/>
          <w:szCs w:val="13"/>
        </w:rPr>
        <w:t xml:space="preserve"> – </w:t>
      </w:r>
      <w:r w:rsidRPr="004A5365">
        <w:rPr>
          <w:sz w:val="13"/>
          <w:szCs w:val="13"/>
        </w:rPr>
        <w:t>It was sunny and warm during the day with increased rainfall particularly in Mulanje. More rainfall has been forecasted for this week. Some parts of the country are still in dry spell with crops at a high risk of going past the permanent wilting point if they miss the current window of water availability. Crop intakes are universally picking up as we head towards the next</w:t>
      </w:r>
      <w:r w:rsidRPr="004A5365">
        <w:rPr>
          <w:spacing w:val="-15"/>
          <w:sz w:val="13"/>
          <w:szCs w:val="13"/>
        </w:rPr>
        <w:t xml:space="preserve"> </w:t>
      </w:r>
      <w:r w:rsidRPr="004A5365">
        <w:rPr>
          <w:sz w:val="13"/>
          <w:szCs w:val="13"/>
        </w:rPr>
        <w:t>peak.</w:t>
      </w:r>
    </w:p>
    <w:p w:rsidR="000A2EF1" w:rsidRPr="004A5365" w:rsidRDefault="000A2EF1" w:rsidP="000A2EF1">
      <w:pPr>
        <w:pStyle w:val="BodyText"/>
        <w:spacing w:before="0" w:beforeAutospacing="0" w:after="0" w:afterAutospacing="0"/>
        <w:jc w:val="both"/>
        <w:rPr>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rPr>
        <w:lastRenderedPageBreak/>
        <w:t xml:space="preserve">SRI LANKA </w:t>
      </w:r>
      <w:r w:rsidRPr="004A5365">
        <w:rPr>
          <w:i/>
          <w:sz w:val="13"/>
          <w:szCs w:val="13"/>
          <w:u w:val="single"/>
        </w:rPr>
        <w:t>Auction</w:t>
      </w:r>
      <w:r w:rsidRPr="004A5365">
        <w:rPr>
          <w:i/>
          <w:sz w:val="13"/>
          <w:szCs w:val="13"/>
        </w:rPr>
        <w:t xml:space="preserve"> </w:t>
      </w:r>
      <w:r w:rsidRPr="004A5365">
        <w:rPr>
          <w:sz w:val="13"/>
          <w:szCs w:val="13"/>
        </w:rPr>
        <w:t xml:space="preserve">– Good general demand. HG – Western BOP sold firm to 10cts easier. Better Western BOPF sold firm to 10cts easier, others firm to 10cts dearer. N. Eliya BOP/BOPF eased 20cts. Uva/Udapussellewa BOP eased 10cts and BOPF sold firm. LG – OP1 gained; select best 15cts, best 15-20cts, below best 15cts, and bottom 20cts. BOP1 select best sold steady to 5cts easier, best, below best, and bottom all gained 20cts. OP and OPA select best sold 10cts dearer, best up 15cts, below best up 10-15cts, and bottom firm. Pekoe 1 select best sold firm, best up 15cts, below best and bottom up 20cts. Pekoe select best sold firm, best up 10cts, below best and bottom up 5-10cts. FBOP/FBOP1 up 10-15cts. FF1 best and below best up 5cts, firm at the bottom. FF and BOP/BOPF sold firm. Tippies and specials up 10cts. Off grade – liquoring fannings eased 10-15cts. LG fannings eased 10cts, except best; firm. Best BP sold firm, others up 10cts. Best BM 20cts easier, best and below best firm, bottom 10cts easier. Dust – HG best types sold firm to 10cts dearer, other 10-15cts easier. Secondaries sold firm, except better types; 10cts easier. LG better sorts firm to 10cts dearer, others firm. </w:t>
      </w:r>
      <w:r w:rsidRPr="004A5365">
        <w:rPr>
          <w:i/>
          <w:sz w:val="13"/>
          <w:szCs w:val="13"/>
          <w:u w:val="single"/>
        </w:rPr>
        <w:t>Demand</w:t>
      </w:r>
      <w:r w:rsidRPr="004A5365">
        <w:rPr>
          <w:i/>
          <w:sz w:val="13"/>
          <w:szCs w:val="13"/>
        </w:rPr>
        <w:t xml:space="preserve"> </w:t>
      </w:r>
      <w:r w:rsidRPr="004A5365">
        <w:rPr>
          <w:sz w:val="13"/>
          <w:szCs w:val="13"/>
        </w:rPr>
        <w:t xml:space="preserve">– Turkey, Iraq, Russia, and Unilever were very active. Iran was active. Saudi Arabia, Japan, and North America slow. Dubai showed improved demand. Syria, Hong Kong, and Pakistan out priced. </w:t>
      </w:r>
      <w:r w:rsidRPr="004A5365">
        <w:rPr>
          <w:i/>
          <w:sz w:val="13"/>
          <w:szCs w:val="13"/>
          <w:u w:val="single"/>
        </w:rPr>
        <w:t>Weather</w:t>
      </w:r>
      <w:r w:rsidRPr="004A5365">
        <w:rPr>
          <w:i/>
          <w:sz w:val="13"/>
          <w:szCs w:val="13"/>
        </w:rPr>
        <w:t xml:space="preserve"> </w:t>
      </w:r>
      <w:r w:rsidRPr="004A5365">
        <w:rPr>
          <w:sz w:val="13"/>
          <w:szCs w:val="13"/>
        </w:rPr>
        <w:t>– Wester, Udapussellawa, and Uva experienced bright weather, while Nuwara Eliya had sunny weather with occasional scattered showers. Low Growns, Ruhuna and Sabaragamuwa, experienced mixed weather conditions with scattered showers.</w:t>
      </w:r>
    </w:p>
    <w:p w:rsidR="000A2EF1" w:rsidRPr="004A5365" w:rsidRDefault="000A2EF1" w:rsidP="000A2EF1">
      <w:pPr>
        <w:pStyle w:val="BodyText"/>
        <w:spacing w:before="0" w:beforeAutospacing="0" w:after="0" w:afterAutospacing="0"/>
        <w:jc w:val="both"/>
        <w:rPr>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rPr>
        <w:t xml:space="preserve">INDONESIA </w:t>
      </w:r>
      <w:r w:rsidRPr="004A5365">
        <w:rPr>
          <w:i/>
          <w:sz w:val="13"/>
          <w:szCs w:val="13"/>
          <w:u w:val="single"/>
        </w:rPr>
        <w:t>Auction</w:t>
      </w:r>
      <w:r w:rsidRPr="004A5365">
        <w:rPr>
          <w:i/>
          <w:sz w:val="13"/>
          <w:szCs w:val="13"/>
        </w:rPr>
        <w:t xml:space="preserve"> </w:t>
      </w:r>
      <w:r w:rsidRPr="004A5365">
        <w:rPr>
          <w:sz w:val="13"/>
          <w:szCs w:val="13"/>
        </w:rPr>
        <w:t xml:space="preserve">- Prices for Java/Sumatra Orthodox were slightly firm to dearer levels except for Java BOP/PF/BT and Sumatra secondary grades (BT2/PF2/D3). CTC was selling mostly at firm to dearer levels. </w:t>
      </w:r>
      <w:r w:rsidRPr="004A5365">
        <w:rPr>
          <w:i/>
          <w:sz w:val="13"/>
          <w:szCs w:val="13"/>
          <w:u w:val="single"/>
        </w:rPr>
        <w:t>Weather</w:t>
      </w:r>
      <w:r w:rsidRPr="004A5365">
        <w:rPr>
          <w:i/>
          <w:sz w:val="13"/>
          <w:szCs w:val="13"/>
        </w:rPr>
        <w:t xml:space="preserve"> </w:t>
      </w:r>
      <w:r w:rsidRPr="004A5365">
        <w:rPr>
          <w:sz w:val="13"/>
          <w:szCs w:val="13"/>
        </w:rPr>
        <w:t>– Java: cloudy and lack of sunshine with moderate rain was report in most planting districts. Cold and windy during the night with low temperatures in the West. Sumatra: Irregular showers were reported.</w:t>
      </w:r>
    </w:p>
    <w:p w:rsidR="000A2EF1" w:rsidRPr="004A5365" w:rsidRDefault="000A2EF1" w:rsidP="000A2EF1">
      <w:pPr>
        <w:pStyle w:val="BodyText"/>
        <w:spacing w:before="0" w:beforeAutospacing="0" w:after="0" w:afterAutospacing="0"/>
        <w:jc w:val="both"/>
        <w:rPr>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rPr>
        <w:t xml:space="preserve">BANGLADESH </w:t>
      </w:r>
      <w:r w:rsidRPr="004A5365">
        <w:rPr>
          <w:i/>
          <w:sz w:val="13"/>
          <w:szCs w:val="13"/>
          <w:u w:val="single"/>
        </w:rPr>
        <w:t>Auction</w:t>
      </w:r>
      <w:r w:rsidRPr="004A5365">
        <w:rPr>
          <w:i/>
          <w:sz w:val="13"/>
          <w:szCs w:val="13"/>
        </w:rPr>
        <w:t xml:space="preserve"> </w:t>
      </w:r>
      <w:r w:rsidRPr="004A5365">
        <w:rPr>
          <w:sz w:val="13"/>
          <w:szCs w:val="13"/>
        </w:rPr>
        <w:t>– Fair demand for the 42,362 CTC packages on offer, which met easier rates. Dust met good demand at irregular rates. Next sale has 45,737 packages on offer.</w:t>
      </w:r>
    </w:p>
    <w:p w:rsidR="000A2EF1" w:rsidRPr="004A5365" w:rsidRDefault="000A2EF1" w:rsidP="000A2EF1">
      <w:pPr>
        <w:pStyle w:val="BodyText"/>
        <w:spacing w:before="0" w:beforeAutospacing="0" w:after="0" w:afterAutospacing="0"/>
        <w:jc w:val="both"/>
        <w:rPr>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u w:val="single"/>
        </w:rPr>
        <w:t xml:space="preserve">INDIA </w:t>
      </w:r>
      <w:r w:rsidRPr="004A5365">
        <w:rPr>
          <w:b/>
          <w:sz w:val="13"/>
          <w:szCs w:val="13"/>
        </w:rPr>
        <w:t xml:space="preserve">Kolkata </w:t>
      </w:r>
      <w:r w:rsidRPr="004A5365">
        <w:rPr>
          <w:i/>
          <w:sz w:val="13"/>
          <w:szCs w:val="13"/>
          <w:u w:val="single"/>
        </w:rPr>
        <w:t>Auction</w:t>
      </w:r>
      <w:r w:rsidRPr="004A5365">
        <w:rPr>
          <w:i/>
          <w:sz w:val="13"/>
          <w:szCs w:val="13"/>
        </w:rPr>
        <w:t xml:space="preserve"> – </w:t>
      </w:r>
      <w:r w:rsidRPr="004A5365">
        <w:rPr>
          <w:sz w:val="13"/>
          <w:szCs w:val="13"/>
        </w:rPr>
        <w:t>CTC teas met fair demand. Assam’s decreased in quality and met easier rates, higher quality teas remained  firm. Orthodox teas met good demand, Whole leaf teas sold irregularly firm, brokens sold irregular to slightly easier. Leafy fannings firm to</w:t>
      </w:r>
      <w:r w:rsidRPr="004A5365">
        <w:rPr>
          <w:spacing w:val="-9"/>
          <w:sz w:val="13"/>
          <w:szCs w:val="13"/>
        </w:rPr>
        <w:t xml:space="preserve"> </w:t>
      </w:r>
      <w:r w:rsidRPr="004A5365">
        <w:rPr>
          <w:sz w:val="13"/>
          <w:szCs w:val="13"/>
        </w:rPr>
        <w:t>dearer.</w:t>
      </w:r>
    </w:p>
    <w:p w:rsidR="000A2EF1" w:rsidRPr="004A5365" w:rsidRDefault="000A2EF1" w:rsidP="000A2EF1">
      <w:pPr>
        <w:pStyle w:val="BodyText"/>
        <w:spacing w:before="0" w:beforeAutospacing="0" w:after="0" w:afterAutospacing="0"/>
        <w:ind w:right="109"/>
        <w:jc w:val="both"/>
        <w:rPr>
          <w:sz w:val="13"/>
          <w:szCs w:val="13"/>
        </w:rPr>
      </w:pPr>
      <w:r w:rsidRPr="004A5365">
        <w:rPr>
          <w:i/>
          <w:sz w:val="13"/>
          <w:szCs w:val="13"/>
          <w:u w:val="single"/>
        </w:rPr>
        <w:t>Demand</w:t>
      </w:r>
      <w:r w:rsidRPr="004A5365">
        <w:rPr>
          <w:i/>
          <w:sz w:val="13"/>
          <w:szCs w:val="13"/>
        </w:rPr>
        <w:t xml:space="preserve"> – </w:t>
      </w:r>
      <w:r w:rsidRPr="004A5365">
        <w:rPr>
          <w:sz w:val="13"/>
          <w:szCs w:val="13"/>
        </w:rPr>
        <w:t>In the CTC market, HUL and Tata were very selective, exporters active on larger broken teas, Western India showed demand for higher quality. In the orthodox market, Middle East and CIS were active while HUL had no presence.</w:t>
      </w:r>
    </w:p>
    <w:p w:rsidR="000A2EF1" w:rsidRPr="004A5365" w:rsidRDefault="000A2EF1" w:rsidP="000A2EF1">
      <w:pPr>
        <w:pStyle w:val="BodyText"/>
        <w:spacing w:before="0" w:beforeAutospacing="0" w:after="0" w:afterAutospacing="0"/>
        <w:jc w:val="both"/>
        <w:rPr>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rPr>
        <w:t xml:space="preserve">Guwahati </w:t>
      </w:r>
      <w:r w:rsidRPr="004A5365">
        <w:rPr>
          <w:i/>
          <w:sz w:val="13"/>
          <w:szCs w:val="13"/>
          <w:u w:val="single"/>
        </w:rPr>
        <w:t>Auction</w:t>
      </w:r>
      <w:r w:rsidRPr="004A5365">
        <w:rPr>
          <w:i/>
          <w:sz w:val="13"/>
          <w:szCs w:val="13"/>
        </w:rPr>
        <w:t xml:space="preserve"> – </w:t>
      </w:r>
      <w:r w:rsidRPr="004A5365">
        <w:rPr>
          <w:sz w:val="13"/>
          <w:szCs w:val="13"/>
        </w:rPr>
        <w:t xml:space="preserve">Fair demand in the CTC market. All teas sold at irregular rates, easing in line with quality. </w:t>
      </w:r>
      <w:r w:rsidRPr="004A5365">
        <w:rPr>
          <w:i/>
          <w:sz w:val="13"/>
          <w:szCs w:val="13"/>
          <w:u w:val="single"/>
        </w:rPr>
        <w:t>Demand</w:t>
      </w:r>
      <w:r w:rsidRPr="004A5365">
        <w:rPr>
          <w:i/>
          <w:sz w:val="13"/>
          <w:szCs w:val="13"/>
        </w:rPr>
        <w:t xml:space="preserve"> – </w:t>
      </w:r>
      <w:r w:rsidRPr="004A5365">
        <w:rPr>
          <w:sz w:val="13"/>
          <w:szCs w:val="13"/>
        </w:rPr>
        <w:t>Western India and local buyers were operating, Tata and HUL very selective.</w:t>
      </w:r>
    </w:p>
    <w:p w:rsidR="000A2EF1" w:rsidRPr="004A5365" w:rsidRDefault="000A2EF1" w:rsidP="000A2EF1">
      <w:pPr>
        <w:pStyle w:val="BodyText"/>
        <w:spacing w:before="0" w:beforeAutospacing="0" w:after="0" w:afterAutospacing="0"/>
        <w:jc w:val="both"/>
        <w:rPr>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rPr>
        <w:t xml:space="preserve">Siliguri </w:t>
      </w:r>
      <w:r w:rsidRPr="004A5365">
        <w:rPr>
          <w:i/>
          <w:sz w:val="13"/>
          <w:szCs w:val="13"/>
          <w:u w:val="single"/>
        </w:rPr>
        <w:t>Auction</w:t>
      </w:r>
      <w:r w:rsidRPr="004A5365">
        <w:rPr>
          <w:i/>
          <w:sz w:val="13"/>
          <w:szCs w:val="13"/>
        </w:rPr>
        <w:t xml:space="preserve"> – </w:t>
      </w:r>
      <w:r w:rsidRPr="004A5365">
        <w:rPr>
          <w:sz w:val="13"/>
          <w:szCs w:val="13"/>
        </w:rPr>
        <w:t>No report.</w:t>
      </w:r>
    </w:p>
    <w:p w:rsidR="000A2EF1" w:rsidRPr="004A5365" w:rsidRDefault="000A2EF1" w:rsidP="000A2EF1">
      <w:pPr>
        <w:pStyle w:val="BodyText"/>
        <w:spacing w:before="0" w:beforeAutospacing="0" w:after="0" w:afterAutospacing="0"/>
        <w:jc w:val="both"/>
        <w:rPr>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rPr>
        <w:t xml:space="preserve">Coonoor </w:t>
      </w:r>
      <w:r w:rsidRPr="004A5365">
        <w:rPr>
          <w:i/>
          <w:sz w:val="13"/>
          <w:szCs w:val="13"/>
          <w:u w:val="single"/>
        </w:rPr>
        <w:t>Auction</w:t>
      </w:r>
      <w:r w:rsidRPr="004A5365">
        <w:rPr>
          <w:i/>
          <w:sz w:val="13"/>
          <w:szCs w:val="13"/>
        </w:rPr>
        <w:t xml:space="preserve"> – </w:t>
      </w:r>
      <w:r w:rsidRPr="004A5365">
        <w:rPr>
          <w:sz w:val="13"/>
          <w:szCs w:val="13"/>
        </w:rPr>
        <w:t>CTC teas met good demand. Better teas sold at irregular rates. Medium and plainer teas were generally firm to dearer, particularly the blacker sorts. Fannings tended slightly easier. Orthodox teas met strong demand all around. CTC dust met good demand. Best and good liquoring teas were irregular and occasionally lower with quality. Remainder generally eased 2-4cts. Orthodox dust primary BOPD met good demand, secondaries were irregular to easier.</w:t>
      </w:r>
    </w:p>
    <w:p w:rsidR="000A2EF1" w:rsidRPr="004A5365" w:rsidRDefault="000A2EF1" w:rsidP="000A2EF1">
      <w:pPr>
        <w:pStyle w:val="BodyText"/>
        <w:spacing w:before="0" w:beforeAutospacing="0" w:after="0" w:afterAutospacing="0"/>
        <w:jc w:val="both"/>
        <w:rPr>
          <w:sz w:val="13"/>
          <w:szCs w:val="13"/>
        </w:rPr>
      </w:pPr>
    </w:p>
    <w:p w:rsidR="000A2EF1" w:rsidRPr="004A5365" w:rsidRDefault="000A2EF1" w:rsidP="000A2EF1">
      <w:pPr>
        <w:pStyle w:val="BodyText"/>
        <w:spacing w:before="0" w:beforeAutospacing="0" w:after="0" w:afterAutospacing="0"/>
        <w:jc w:val="both"/>
        <w:rPr>
          <w:sz w:val="13"/>
          <w:szCs w:val="13"/>
        </w:rPr>
      </w:pPr>
      <w:r w:rsidRPr="004A5365">
        <w:rPr>
          <w:b/>
          <w:sz w:val="13"/>
          <w:szCs w:val="13"/>
        </w:rPr>
        <w:t xml:space="preserve">Coimbatore </w:t>
      </w:r>
      <w:r w:rsidRPr="004A5365">
        <w:rPr>
          <w:i/>
          <w:sz w:val="13"/>
          <w:szCs w:val="13"/>
          <w:u w:val="single"/>
        </w:rPr>
        <w:t>Auction</w:t>
      </w:r>
      <w:r w:rsidRPr="004A5365">
        <w:rPr>
          <w:i/>
          <w:sz w:val="13"/>
          <w:szCs w:val="13"/>
        </w:rPr>
        <w:t xml:space="preserve"> – </w:t>
      </w:r>
      <w:r w:rsidRPr="004A5365">
        <w:rPr>
          <w:sz w:val="13"/>
          <w:szCs w:val="13"/>
        </w:rPr>
        <w:t>CTC and dust met fair demand, steady to occasionally dearer.</w:t>
      </w:r>
    </w:p>
    <w:p w:rsidR="000A2EF1" w:rsidRPr="004A5365" w:rsidRDefault="000A2EF1" w:rsidP="000A2EF1">
      <w:pPr>
        <w:pStyle w:val="BodyText"/>
        <w:spacing w:before="0" w:beforeAutospacing="0" w:after="0" w:afterAutospacing="0"/>
        <w:jc w:val="both"/>
        <w:rPr>
          <w:sz w:val="13"/>
          <w:szCs w:val="13"/>
        </w:rPr>
      </w:pPr>
    </w:p>
    <w:p w:rsidR="004A5365" w:rsidRPr="004A5365" w:rsidRDefault="000A2EF1" w:rsidP="000A2EF1">
      <w:pPr>
        <w:pStyle w:val="BodyText"/>
        <w:spacing w:before="0" w:beforeAutospacing="0" w:after="0" w:afterAutospacing="0"/>
        <w:jc w:val="both"/>
        <w:rPr>
          <w:i/>
          <w:sz w:val="13"/>
          <w:szCs w:val="13"/>
        </w:rPr>
        <w:sectPr w:rsidR="004A5365" w:rsidRPr="004A5365" w:rsidSect="004A5365">
          <w:type w:val="continuous"/>
          <w:pgSz w:w="12240" w:h="15840" w:code="1"/>
          <w:pgMar w:top="720" w:right="1440" w:bottom="864" w:left="1440" w:header="720" w:footer="720" w:gutter="0"/>
          <w:cols w:num="2" w:space="720"/>
          <w:docGrid w:linePitch="360"/>
        </w:sectPr>
      </w:pPr>
      <w:r w:rsidRPr="004A5365">
        <w:rPr>
          <w:b/>
          <w:sz w:val="13"/>
          <w:szCs w:val="13"/>
        </w:rPr>
        <w:t xml:space="preserve">Cochin </w:t>
      </w:r>
      <w:r w:rsidRPr="004A5365">
        <w:rPr>
          <w:i/>
          <w:sz w:val="13"/>
          <w:szCs w:val="13"/>
          <w:u w:val="single"/>
        </w:rPr>
        <w:t>Auction</w:t>
      </w:r>
      <w:r w:rsidRPr="004A5365">
        <w:rPr>
          <w:i/>
          <w:sz w:val="13"/>
          <w:szCs w:val="13"/>
        </w:rPr>
        <w:t xml:space="preserve"> –</w:t>
      </w:r>
      <w:r w:rsidRPr="004A5365">
        <w:rPr>
          <w:sz w:val="13"/>
          <w:szCs w:val="13"/>
        </w:rPr>
        <w:t>Orthodox teas met good demand. Select best Nilgiris sold in line with quality, firm to dearer. Medium whole leaf and smaller primary brokens up 3cts and more. Larger brokens sold firm, fannings were heavily withdrawn. CTC teas met good demand. Liquoring brokens firm to dearer, plainer types around last, in line with quality. Dust met good demand. Best category and popular marks sold firm to dearer, up to 4cts. Select clean mediums sold dearer up to 5cts. Plainer types; firm to dearer.</w:t>
      </w:r>
      <w:r w:rsidRPr="004A5365">
        <w:rPr>
          <w:i/>
          <w:sz w:val="13"/>
          <w:szCs w:val="13"/>
        </w:rPr>
        <w:t>All price movements quoted in USD per kilo.</w:t>
      </w:r>
    </w:p>
    <w:p w:rsidR="000A2EF1" w:rsidRPr="004A5365" w:rsidRDefault="000A2EF1" w:rsidP="000A2EF1">
      <w:pPr>
        <w:pStyle w:val="BodyText"/>
        <w:spacing w:before="0" w:beforeAutospacing="0" w:after="0" w:afterAutospacing="0"/>
        <w:jc w:val="both"/>
        <w:rPr>
          <w:i/>
          <w:sz w:val="13"/>
          <w:szCs w:val="13"/>
        </w:rPr>
      </w:pPr>
    </w:p>
    <w:p w:rsidR="000A2EF1" w:rsidRPr="004A5365" w:rsidRDefault="000A2EF1" w:rsidP="000A2EF1">
      <w:pPr>
        <w:pStyle w:val="BodyText"/>
        <w:spacing w:before="0" w:beforeAutospacing="0" w:after="0" w:afterAutospacing="0"/>
        <w:jc w:val="center"/>
        <w:rPr>
          <w:b/>
          <w:sz w:val="13"/>
          <w:szCs w:val="13"/>
        </w:rPr>
      </w:pPr>
      <w:r w:rsidRPr="004A5365">
        <w:rPr>
          <w:b/>
          <w:sz w:val="13"/>
          <w:szCs w:val="13"/>
        </w:rPr>
        <w:t>Crop figures (in m.kgs)</w:t>
      </w:r>
    </w:p>
    <w:tbl>
      <w:tblPr>
        <w:tblW w:w="0" w:type="auto"/>
        <w:jc w:val="center"/>
        <w:tblInd w:w="251" w:type="dxa"/>
        <w:tblBorders>
          <w:top w:val="single" w:sz="6" w:space="0" w:color="7E7E7E"/>
          <w:left w:val="single" w:sz="6" w:space="0" w:color="7E7E7E"/>
          <w:bottom w:val="single" w:sz="6" w:space="0" w:color="7E7E7E"/>
          <w:right w:val="single" w:sz="6" w:space="0" w:color="7E7E7E"/>
          <w:insideH w:val="single" w:sz="6" w:space="0" w:color="7E7E7E"/>
          <w:insideV w:val="single" w:sz="6" w:space="0" w:color="7E7E7E"/>
        </w:tblBorders>
        <w:tblLayout w:type="fixed"/>
        <w:tblCellMar>
          <w:left w:w="0" w:type="dxa"/>
          <w:right w:w="0" w:type="dxa"/>
        </w:tblCellMar>
        <w:tblLook w:val="01E0"/>
      </w:tblPr>
      <w:tblGrid>
        <w:gridCol w:w="1589"/>
        <w:gridCol w:w="1133"/>
        <w:gridCol w:w="1135"/>
        <w:gridCol w:w="1133"/>
        <w:gridCol w:w="1136"/>
      </w:tblGrid>
      <w:tr w:rsidR="000A2EF1" w:rsidRPr="004A5365" w:rsidTr="000A2EF1">
        <w:trPr>
          <w:trHeight w:val="180"/>
          <w:jc w:val="center"/>
        </w:trPr>
        <w:tc>
          <w:tcPr>
            <w:tcW w:w="1589" w:type="dxa"/>
            <w:shd w:val="clear" w:color="auto" w:fill="52A912"/>
          </w:tcPr>
          <w:p w:rsidR="000A2EF1" w:rsidRPr="004A5365" w:rsidRDefault="000A2EF1" w:rsidP="000A2EF1">
            <w:pPr>
              <w:pStyle w:val="TableParagraph"/>
              <w:spacing w:before="0" w:line="240" w:lineRule="auto"/>
              <w:jc w:val="left"/>
              <w:rPr>
                <w:rFonts w:ascii="Times New Roman" w:hAnsi="Times New Roman" w:cs="Times New Roman"/>
                <w:sz w:val="13"/>
                <w:szCs w:val="13"/>
              </w:rPr>
            </w:pPr>
          </w:p>
        </w:tc>
        <w:tc>
          <w:tcPr>
            <w:tcW w:w="1133" w:type="dxa"/>
            <w:shd w:val="clear" w:color="auto" w:fill="52A912"/>
          </w:tcPr>
          <w:p w:rsidR="000A2EF1" w:rsidRPr="004A5365" w:rsidRDefault="000A2EF1" w:rsidP="000A2EF1">
            <w:pPr>
              <w:pStyle w:val="TableParagraph"/>
              <w:spacing w:before="0" w:line="240" w:lineRule="auto"/>
              <w:ind w:left="280"/>
              <w:jc w:val="left"/>
              <w:rPr>
                <w:rFonts w:ascii="Times New Roman" w:hAnsi="Times New Roman" w:cs="Times New Roman"/>
                <w:sz w:val="13"/>
                <w:szCs w:val="13"/>
              </w:rPr>
            </w:pPr>
            <w:r w:rsidRPr="004A5365">
              <w:rPr>
                <w:rFonts w:ascii="Times New Roman" w:hAnsi="Times New Roman" w:cs="Times New Roman"/>
                <w:color w:val="FFFFFF"/>
                <w:sz w:val="13"/>
                <w:szCs w:val="13"/>
              </w:rPr>
              <w:t>Nov 17</w:t>
            </w:r>
          </w:p>
        </w:tc>
        <w:tc>
          <w:tcPr>
            <w:tcW w:w="1135" w:type="dxa"/>
            <w:shd w:val="clear" w:color="auto" w:fill="52A912"/>
          </w:tcPr>
          <w:p w:rsidR="000A2EF1" w:rsidRPr="004A5365" w:rsidRDefault="000A2EF1" w:rsidP="000A2EF1">
            <w:pPr>
              <w:pStyle w:val="TableParagraph"/>
              <w:spacing w:before="0" w:line="240" w:lineRule="auto"/>
              <w:ind w:left="282"/>
              <w:jc w:val="left"/>
              <w:rPr>
                <w:rFonts w:ascii="Times New Roman" w:hAnsi="Times New Roman" w:cs="Times New Roman"/>
                <w:sz w:val="13"/>
                <w:szCs w:val="13"/>
              </w:rPr>
            </w:pPr>
            <w:r w:rsidRPr="004A5365">
              <w:rPr>
                <w:rFonts w:ascii="Times New Roman" w:hAnsi="Times New Roman" w:cs="Times New Roman"/>
                <w:color w:val="FFFFFF"/>
                <w:sz w:val="13"/>
                <w:szCs w:val="13"/>
              </w:rPr>
              <w:t>Nov 16</w:t>
            </w:r>
          </w:p>
        </w:tc>
        <w:tc>
          <w:tcPr>
            <w:tcW w:w="1133" w:type="dxa"/>
            <w:shd w:val="clear" w:color="auto" w:fill="52A912"/>
          </w:tcPr>
          <w:p w:rsidR="000A2EF1" w:rsidRPr="004A5365" w:rsidRDefault="000A2EF1" w:rsidP="000A2EF1">
            <w:pPr>
              <w:pStyle w:val="TableParagraph"/>
              <w:spacing w:before="0" w:line="240" w:lineRule="auto"/>
              <w:ind w:right="136"/>
              <w:rPr>
                <w:rFonts w:ascii="Times New Roman" w:hAnsi="Times New Roman" w:cs="Times New Roman"/>
                <w:sz w:val="13"/>
                <w:szCs w:val="13"/>
              </w:rPr>
            </w:pPr>
            <w:r w:rsidRPr="004A5365">
              <w:rPr>
                <w:rFonts w:ascii="Times New Roman" w:hAnsi="Times New Roman" w:cs="Times New Roman"/>
                <w:color w:val="FFFFFF"/>
                <w:sz w:val="13"/>
                <w:szCs w:val="13"/>
              </w:rPr>
              <w:t>Jan-Nov 17</w:t>
            </w:r>
          </w:p>
        </w:tc>
        <w:tc>
          <w:tcPr>
            <w:tcW w:w="1136" w:type="dxa"/>
            <w:shd w:val="clear" w:color="auto" w:fill="52A912"/>
          </w:tcPr>
          <w:p w:rsidR="000A2EF1" w:rsidRPr="004A5365" w:rsidRDefault="000A2EF1" w:rsidP="000A2EF1">
            <w:pPr>
              <w:pStyle w:val="TableParagraph"/>
              <w:spacing w:before="0" w:line="240" w:lineRule="auto"/>
              <w:ind w:right="139"/>
              <w:rPr>
                <w:rFonts w:ascii="Times New Roman" w:hAnsi="Times New Roman" w:cs="Times New Roman"/>
                <w:sz w:val="13"/>
                <w:szCs w:val="13"/>
              </w:rPr>
            </w:pPr>
            <w:r w:rsidRPr="004A5365">
              <w:rPr>
                <w:rFonts w:ascii="Times New Roman" w:hAnsi="Times New Roman" w:cs="Times New Roman"/>
                <w:color w:val="FFFFFF"/>
                <w:sz w:val="13"/>
                <w:szCs w:val="13"/>
              </w:rPr>
              <w:t>Jan-Nov 16</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52A912"/>
                <w:sz w:val="13"/>
                <w:szCs w:val="13"/>
              </w:rPr>
              <w:t>Sri Lanka</w:t>
            </w:r>
          </w:p>
        </w:tc>
        <w:tc>
          <w:tcPr>
            <w:tcW w:w="1133" w:type="dxa"/>
          </w:tcPr>
          <w:p w:rsidR="000A2EF1" w:rsidRPr="004A5365" w:rsidRDefault="000A2EF1" w:rsidP="000A2EF1">
            <w:pPr>
              <w:pStyle w:val="TableParagraph"/>
              <w:spacing w:before="0" w:line="240" w:lineRule="auto"/>
              <w:ind w:right="103"/>
              <w:rPr>
                <w:rFonts w:ascii="Times New Roman" w:hAnsi="Times New Roman" w:cs="Times New Roman"/>
                <w:sz w:val="13"/>
                <w:szCs w:val="13"/>
              </w:rPr>
            </w:pPr>
            <w:r w:rsidRPr="004A5365">
              <w:rPr>
                <w:rFonts w:ascii="Times New Roman" w:hAnsi="Times New Roman" w:cs="Times New Roman"/>
                <w:sz w:val="13"/>
                <w:szCs w:val="13"/>
              </w:rPr>
              <w:t>24.8</w:t>
            </w:r>
          </w:p>
        </w:tc>
        <w:tc>
          <w:tcPr>
            <w:tcW w:w="1135"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27.8</w:t>
            </w:r>
          </w:p>
        </w:tc>
        <w:tc>
          <w:tcPr>
            <w:tcW w:w="1133" w:type="dxa"/>
          </w:tcPr>
          <w:p w:rsidR="000A2EF1" w:rsidRPr="004A5365" w:rsidRDefault="000A2EF1" w:rsidP="000A2EF1">
            <w:pPr>
              <w:pStyle w:val="TableParagraph"/>
              <w:spacing w:before="0" w:line="240" w:lineRule="auto"/>
              <w:ind w:right="100"/>
              <w:rPr>
                <w:rFonts w:ascii="Times New Roman" w:hAnsi="Times New Roman" w:cs="Times New Roman"/>
                <w:sz w:val="13"/>
                <w:szCs w:val="13"/>
              </w:rPr>
            </w:pPr>
            <w:r w:rsidRPr="004A5365">
              <w:rPr>
                <w:rFonts w:ascii="Times New Roman" w:hAnsi="Times New Roman" w:cs="Times New Roman"/>
                <w:sz w:val="13"/>
                <w:szCs w:val="13"/>
              </w:rPr>
              <w:t>283.4</w:t>
            </w:r>
          </w:p>
        </w:tc>
        <w:tc>
          <w:tcPr>
            <w:tcW w:w="1136"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265.4</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52A912"/>
                <w:sz w:val="13"/>
                <w:szCs w:val="13"/>
              </w:rPr>
              <w:t>Kenya</w:t>
            </w:r>
          </w:p>
        </w:tc>
        <w:tc>
          <w:tcPr>
            <w:tcW w:w="1133"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45.4</w:t>
            </w:r>
          </w:p>
        </w:tc>
        <w:tc>
          <w:tcPr>
            <w:tcW w:w="1135"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39.9</w:t>
            </w:r>
          </w:p>
        </w:tc>
        <w:tc>
          <w:tcPr>
            <w:tcW w:w="1133" w:type="dxa"/>
          </w:tcPr>
          <w:p w:rsidR="000A2EF1" w:rsidRPr="004A5365" w:rsidRDefault="000A2EF1" w:rsidP="000A2EF1">
            <w:pPr>
              <w:pStyle w:val="TableParagraph"/>
              <w:spacing w:before="0" w:line="240" w:lineRule="auto"/>
              <w:ind w:right="100"/>
              <w:rPr>
                <w:rFonts w:ascii="Times New Roman" w:hAnsi="Times New Roman" w:cs="Times New Roman"/>
                <w:sz w:val="13"/>
                <w:szCs w:val="13"/>
              </w:rPr>
            </w:pPr>
            <w:r w:rsidRPr="004A5365">
              <w:rPr>
                <w:rFonts w:ascii="Times New Roman" w:hAnsi="Times New Roman" w:cs="Times New Roman"/>
                <w:sz w:val="13"/>
                <w:szCs w:val="13"/>
              </w:rPr>
              <w:t>392.4</w:t>
            </w:r>
          </w:p>
        </w:tc>
        <w:tc>
          <w:tcPr>
            <w:tcW w:w="1136"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427.9</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52A912"/>
                <w:sz w:val="13"/>
                <w:szCs w:val="13"/>
              </w:rPr>
              <w:t>India</w:t>
            </w:r>
          </w:p>
        </w:tc>
        <w:tc>
          <w:tcPr>
            <w:tcW w:w="1133" w:type="dxa"/>
          </w:tcPr>
          <w:p w:rsidR="000A2EF1" w:rsidRPr="004A5365" w:rsidRDefault="000A2EF1" w:rsidP="000A2EF1">
            <w:pPr>
              <w:pStyle w:val="TableParagraph"/>
              <w:spacing w:before="0" w:line="240" w:lineRule="auto"/>
              <w:ind w:right="103"/>
              <w:rPr>
                <w:rFonts w:ascii="Times New Roman" w:hAnsi="Times New Roman" w:cs="Times New Roman"/>
                <w:sz w:val="13"/>
                <w:szCs w:val="13"/>
              </w:rPr>
            </w:pPr>
            <w:r w:rsidRPr="004A5365">
              <w:rPr>
                <w:rFonts w:ascii="Times New Roman" w:hAnsi="Times New Roman" w:cs="Times New Roman"/>
                <w:sz w:val="13"/>
                <w:szCs w:val="13"/>
              </w:rPr>
              <w:t>118.9</w:t>
            </w:r>
          </w:p>
        </w:tc>
        <w:tc>
          <w:tcPr>
            <w:tcW w:w="1135"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128.9</w:t>
            </w:r>
          </w:p>
        </w:tc>
        <w:tc>
          <w:tcPr>
            <w:tcW w:w="1133" w:type="dxa"/>
          </w:tcPr>
          <w:p w:rsidR="000A2EF1" w:rsidRPr="004A5365" w:rsidRDefault="000A2EF1" w:rsidP="000A2EF1">
            <w:pPr>
              <w:pStyle w:val="TableParagraph"/>
              <w:spacing w:before="0" w:line="240" w:lineRule="auto"/>
              <w:ind w:right="100"/>
              <w:rPr>
                <w:rFonts w:ascii="Times New Roman" w:hAnsi="Times New Roman" w:cs="Times New Roman"/>
                <w:sz w:val="13"/>
                <w:szCs w:val="13"/>
              </w:rPr>
            </w:pPr>
            <w:r w:rsidRPr="004A5365">
              <w:rPr>
                <w:rFonts w:ascii="Times New Roman" w:hAnsi="Times New Roman" w:cs="Times New Roman"/>
                <w:sz w:val="13"/>
                <w:szCs w:val="13"/>
              </w:rPr>
              <w:t>1,209</w:t>
            </w:r>
          </w:p>
        </w:tc>
        <w:tc>
          <w:tcPr>
            <w:tcW w:w="1136"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1,203</w:t>
            </w:r>
          </w:p>
        </w:tc>
      </w:tr>
      <w:tr w:rsidR="000A2EF1" w:rsidRPr="004A5365" w:rsidTr="000A2EF1">
        <w:trPr>
          <w:trHeight w:val="180"/>
          <w:jc w:val="center"/>
        </w:trPr>
        <w:tc>
          <w:tcPr>
            <w:tcW w:w="1589" w:type="dxa"/>
            <w:shd w:val="clear" w:color="auto" w:fill="52A912"/>
          </w:tcPr>
          <w:p w:rsidR="000A2EF1" w:rsidRPr="004A5365" w:rsidRDefault="000A2EF1" w:rsidP="000A2EF1">
            <w:pPr>
              <w:pStyle w:val="TableParagraph"/>
              <w:spacing w:before="0" w:line="240" w:lineRule="auto"/>
              <w:jc w:val="left"/>
              <w:rPr>
                <w:rFonts w:ascii="Times New Roman" w:hAnsi="Times New Roman" w:cs="Times New Roman"/>
                <w:sz w:val="13"/>
                <w:szCs w:val="13"/>
              </w:rPr>
            </w:pPr>
          </w:p>
        </w:tc>
        <w:tc>
          <w:tcPr>
            <w:tcW w:w="1133" w:type="dxa"/>
            <w:shd w:val="clear" w:color="auto" w:fill="52A912"/>
          </w:tcPr>
          <w:p w:rsidR="000A2EF1" w:rsidRPr="004A5365" w:rsidRDefault="000A2EF1" w:rsidP="000A2EF1">
            <w:pPr>
              <w:pStyle w:val="TableParagraph"/>
              <w:spacing w:before="0" w:line="240" w:lineRule="auto"/>
              <w:ind w:left="282"/>
              <w:jc w:val="left"/>
              <w:rPr>
                <w:rFonts w:ascii="Times New Roman" w:hAnsi="Times New Roman" w:cs="Times New Roman"/>
                <w:sz w:val="13"/>
                <w:szCs w:val="13"/>
              </w:rPr>
            </w:pPr>
            <w:r w:rsidRPr="004A5365">
              <w:rPr>
                <w:rFonts w:ascii="Times New Roman" w:hAnsi="Times New Roman" w:cs="Times New Roman"/>
                <w:color w:val="FFFFFF"/>
                <w:sz w:val="13"/>
                <w:szCs w:val="13"/>
              </w:rPr>
              <w:t>Dec-17</w:t>
            </w:r>
          </w:p>
        </w:tc>
        <w:tc>
          <w:tcPr>
            <w:tcW w:w="1135" w:type="dxa"/>
            <w:shd w:val="clear" w:color="auto" w:fill="52A912"/>
          </w:tcPr>
          <w:p w:rsidR="000A2EF1" w:rsidRPr="004A5365" w:rsidRDefault="000A2EF1" w:rsidP="000A2EF1">
            <w:pPr>
              <w:pStyle w:val="TableParagraph"/>
              <w:spacing w:before="0" w:line="240" w:lineRule="auto"/>
              <w:ind w:left="285"/>
              <w:jc w:val="left"/>
              <w:rPr>
                <w:rFonts w:ascii="Times New Roman" w:hAnsi="Times New Roman" w:cs="Times New Roman"/>
                <w:sz w:val="13"/>
                <w:szCs w:val="13"/>
              </w:rPr>
            </w:pPr>
            <w:r w:rsidRPr="004A5365">
              <w:rPr>
                <w:rFonts w:ascii="Times New Roman" w:hAnsi="Times New Roman" w:cs="Times New Roman"/>
                <w:color w:val="FFFFFF"/>
                <w:sz w:val="13"/>
                <w:szCs w:val="13"/>
              </w:rPr>
              <w:t>Dec-16</w:t>
            </w:r>
          </w:p>
        </w:tc>
        <w:tc>
          <w:tcPr>
            <w:tcW w:w="1133" w:type="dxa"/>
            <w:shd w:val="clear" w:color="auto" w:fill="52A912"/>
          </w:tcPr>
          <w:p w:rsidR="000A2EF1" w:rsidRPr="004A5365" w:rsidRDefault="000A2EF1" w:rsidP="000A2EF1">
            <w:pPr>
              <w:pStyle w:val="TableParagraph"/>
              <w:spacing w:before="0" w:line="240" w:lineRule="auto"/>
              <w:ind w:right="126"/>
              <w:rPr>
                <w:rFonts w:ascii="Times New Roman" w:hAnsi="Times New Roman" w:cs="Times New Roman"/>
                <w:sz w:val="13"/>
                <w:szCs w:val="13"/>
              </w:rPr>
            </w:pPr>
            <w:r w:rsidRPr="004A5365">
              <w:rPr>
                <w:rFonts w:ascii="Times New Roman" w:hAnsi="Times New Roman" w:cs="Times New Roman"/>
                <w:color w:val="FFFFFF"/>
                <w:sz w:val="13"/>
                <w:szCs w:val="13"/>
              </w:rPr>
              <w:t>Jan/Dec 17</w:t>
            </w:r>
          </w:p>
        </w:tc>
        <w:tc>
          <w:tcPr>
            <w:tcW w:w="1136" w:type="dxa"/>
            <w:shd w:val="clear" w:color="auto" w:fill="52A912"/>
          </w:tcPr>
          <w:p w:rsidR="000A2EF1" w:rsidRPr="004A5365" w:rsidRDefault="000A2EF1" w:rsidP="000A2EF1">
            <w:pPr>
              <w:pStyle w:val="TableParagraph"/>
              <w:spacing w:before="0" w:line="240" w:lineRule="auto"/>
              <w:ind w:right="129"/>
              <w:rPr>
                <w:rFonts w:ascii="Times New Roman" w:hAnsi="Times New Roman" w:cs="Times New Roman"/>
                <w:sz w:val="13"/>
                <w:szCs w:val="13"/>
              </w:rPr>
            </w:pPr>
            <w:r w:rsidRPr="004A5365">
              <w:rPr>
                <w:rFonts w:ascii="Times New Roman" w:hAnsi="Times New Roman" w:cs="Times New Roman"/>
                <w:color w:val="FFFFFF"/>
                <w:sz w:val="13"/>
                <w:szCs w:val="13"/>
              </w:rPr>
              <w:t>Jan/Dec 16</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52A912"/>
                <w:sz w:val="13"/>
                <w:szCs w:val="13"/>
              </w:rPr>
              <w:t>Malawi</w:t>
            </w:r>
          </w:p>
        </w:tc>
        <w:tc>
          <w:tcPr>
            <w:tcW w:w="1133"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5.7</w:t>
            </w:r>
          </w:p>
        </w:tc>
        <w:tc>
          <w:tcPr>
            <w:tcW w:w="1135"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5.6</w:t>
            </w:r>
          </w:p>
        </w:tc>
        <w:tc>
          <w:tcPr>
            <w:tcW w:w="1133" w:type="dxa"/>
          </w:tcPr>
          <w:p w:rsidR="000A2EF1" w:rsidRPr="004A5365" w:rsidRDefault="000A2EF1" w:rsidP="000A2EF1">
            <w:pPr>
              <w:pStyle w:val="TableParagraph"/>
              <w:spacing w:before="0" w:line="240" w:lineRule="auto"/>
              <w:ind w:right="99"/>
              <w:rPr>
                <w:rFonts w:ascii="Times New Roman" w:hAnsi="Times New Roman" w:cs="Times New Roman"/>
                <w:sz w:val="13"/>
                <w:szCs w:val="13"/>
              </w:rPr>
            </w:pPr>
            <w:r w:rsidRPr="004A5365">
              <w:rPr>
                <w:rFonts w:ascii="Times New Roman" w:hAnsi="Times New Roman" w:cs="Times New Roman"/>
                <w:sz w:val="13"/>
                <w:szCs w:val="13"/>
              </w:rPr>
              <w:t>45.6</w:t>
            </w:r>
          </w:p>
        </w:tc>
        <w:tc>
          <w:tcPr>
            <w:tcW w:w="1136"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43.1</w:t>
            </w:r>
          </w:p>
        </w:tc>
      </w:tr>
    </w:tbl>
    <w:p w:rsidR="000A2EF1" w:rsidRPr="004A5365" w:rsidRDefault="000A2EF1" w:rsidP="000A2EF1">
      <w:pPr>
        <w:pStyle w:val="BodyText"/>
        <w:spacing w:before="0" w:beforeAutospacing="0" w:after="0" w:afterAutospacing="0"/>
        <w:rPr>
          <w:b/>
          <w:sz w:val="13"/>
          <w:szCs w:val="13"/>
        </w:rPr>
      </w:pPr>
    </w:p>
    <w:p w:rsidR="000A2EF1" w:rsidRPr="004A5365" w:rsidRDefault="000A2EF1" w:rsidP="000A2EF1">
      <w:pPr>
        <w:pStyle w:val="BodyText"/>
        <w:spacing w:before="0" w:beforeAutospacing="0" w:after="0" w:afterAutospacing="0"/>
        <w:jc w:val="center"/>
        <w:rPr>
          <w:b/>
          <w:sz w:val="13"/>
          <w:szCs w:val="13"/>
        </w:rPr>
      </w:pPr>
      <w:r w:rsidRPr="004A5365">
        <w:rPr>
          <w:b/>
          <w:sz w:val="13"/>
          <w:szCs w:val="13"/>
        </w:rPr>
        <w:t>Upcoming auction quantities (pkgs)</w:t>
      </w:r>
    </w:p>
    <w:tbl>
      <w:tblPr>
        <w:tblW w:w="0" w:type="auto"/>
        <w:jc w:val="center"/>
        <w:tblInd w:w="251" w:type="dxa"/>
        <w:tblBorders>
          <w:top w:val="single" w:sz="6" w:space="0" w:color="7E7E7E"/>
          <w:left w:val="single" w:sz="6" w:space="0" w:color="7E7E7E"/>
          <w:bottom w:val="single" w:sz="6" w:space="0" w:color="7E7E7E"/>
          <w:right w:val="single" w:sz="6" w:space="0" w:color="7E7E7E"/>
          <w:insideH w:val="single" w:sz="6" w:space="0" w:color="7E7E7E"/>
          <w:insideV w:val="single" w:sz="6" w:space="0" w:color="7E7E7E"/>
        </w:tblBorders>
        <w:tblLayout w:type="fixed"/>
        <w:tblCellMar>
          <w:left w:w="0" w:type="dxa"/>
          <w:right w:w="0" w:type="dxa"/>
        </w:tblCellMar>
        <w:tblLook w:val="01E0"/>
      </w:tblPr>
      <w:tblGrid>
        <w:gridCol w:w="1589"/>
        <w:gridCol w:w="1133"/>
        <w:gridCol w:w="1135"/>
        <w:gridCol w:w="1133"/>
      </w:tblGrid>
      <w:tr w:rsidR="000A2EF1" w:rsidRPr="004A5365" w:rsidTr="000A2EF1">
        <w:trPr>
          <w:trHeight w:val="180"/>
          <w:jc w:val="center"/>
        </w:trPr>
        <w:tc>
          <w:tcPr>
            <w:tcW w:w="1589" w:type="dxa"/>
            <w:shd w:val="clear" w:color="auto" w:fill="52A912"/>
          </w:tcPr>
          <w:p w:rsidR="000A2EF1" w:rsidRPr="004A5365" w:rsidRDefault="000A2EF1" w:rsidP="000A2EF1">
            <w:pPr>
              <w:pStyle w:val="TableParagraph"/>
              <w:spacing w:before="0" w:line="240" w:lineRule="auto"/>
              <w:jc w:val="left"/>
              <w:rPr>
                <w:rFonts w:ascii="Times New Roman" w:hAnsi="Times New Roman" w:cs="Times New Roman"/>
                <w:sz w:val="13"/>
                <w:szCs w:val="13"/>
              </w:rPr>
            </w:pPr>
          </w:p>
        </w:tc>
        <w:tc>
          <w:tcPr>
            <w:tcW w:w="1133" w:type="dxa"/>
            <w:shd w:val="clear" w:color="auto" w:fill="52A912"/>
          </w:tcPr>
          <w:p w:rsidR="000A2EF1" w:rsidRPr="004A5365" w:rsidRDefault="000A2EF1" w:rsidP="000A2EF1">
            <w:pPr>
              <w:pStyle w:val="TableParagraph"/>
              <w:spacing w:before="0" w:line="240" w:lineRule="auto"/>
              <w:ind w:left="275"/>
              <w:jc w:val="left"/>
              <w:rPr>
                <w:rFonts w:ascii="Times New Roman" w:hAnsi="Times New Roman" w:cs="Times New Roman"/>
                <w:sz w:val="13"/>
                <w:szCs w:val="13"/>
              </w:rPr>
            </w:pPr>
            <w:r w:rsidRPr="004A5365">
              <w:rPr>
                <w:rFonts w:ascii="Times New Roman" w:hAnsi="Times New Roman" w:cs="Times New Roman"/>
                <w:color w:val="FFFFFF"/>
                <w:sz w:val="13"/>
                <w:szCs w:val="13"/>
              </w:rPr>
              <w:t>Week 4</w:t>
            </w:r>
          </w:p>
        </w:tc>
        <w:tc>
          <w:tcPr>
            <w:tcW w:w="1135" w:type="dxa"/>
            <w:shd w:val="clear" w:color="auto" w:fill="52A912"/>
          </w:tcPr>
          <w:p w:rsidR="000A2EF1" w:rsidRPr="004A5365" w:rsidRDefault="000A2EF1" w:rsidP="000A2EF1">
            <w:pPr>
              <w:pStyle w:val="TableParagraph"/>
              <w:spacing w:before="0" w:line="240" w:lineRule="auto"/>
              <w:ind w:left="278"/>
              <w:jc w:val="left"/>
              <w:rPr>
                <w:rFonts w:ascii="Times New Roman" w:hAnsi="Times New Roman" w:cs="Times New Roman"/>
                <w:sz w:val="13"/>
                <w:szCs w:val="13"/>
              </w:rPr>
            </w:pPr>
            <w:r w:rsidRPr="004A5365">
              <w:rPr>
                <w:rFonts w:ascii="Times New Roman" w:hAnsi="Times New Roman" w:cs="Times New Roman"/>
                <w:color w:val="FFFFFF"/>
                <w:sz w:val="13"/>
                <w:szCs w:val="13"/>
              </w:rPr>
              <w:t>Week 5</w:t>
            </w:r>
          </w:p>
        </w:tc>
        <w:tc>
          <w:tcPr>
            <w:tcW w:w="1133" w:type="dxa"/>
            <w:shd w:val="clear" w:color="auto" w:fill="52A912"/>
          </w:tcPr>
          <w:p w:rsidR="000A2EF1" w:rsidRPr="004A5365" w:rsidRDefault="000A2EF1" w:rsidP="000A2EF1">
            <w:pPr>
              <w:pStyle w:val="TableParagraph"/>
              <w:spacing w:before="0" w:line="240" w:lineRule="auto"/>
              <w:ind w:left="278"/>
              <w:jc w:val="left"/>
              <w:rPr>
                <w:rFonts w:ascii="Times New Roman" w:hAnsi="Times New Roman" w:cs="Times New Roman"/>
                <w:sz w:val="13"/>
                <w:szCs w:val="13"/>
              </w:rPr>
            </w:pPr>
            <w:r w:rsidRPr="004A5365">
              <w:rPr>
                <w:rFonts w:ascii="Times New Roman" w:hAnsi="Times New Roman" w:cs="Times New Roman"/>
                <w:color w:val="FFFFFF"/>
                <w:sz w:val="13"/>
                <w:szCs w:val="13"/>
              </w:rPr>
              <w:t>Week 6</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6FAC46"/>
                <w:sz w:val="13"/>
                <w:szCs w:val="13"/>
              </w:rPr>
              <w:t>Mombasa</w:t>
            </w:r>
          </w:p>
        </w:tc>
        <w:tc>
          <w:tcPr>
            <w:tcW w:w="1133"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168,677</w:t>
            </w:r>
          </w:p>
        </w:tc>
        <w:tc>
          <w:tcPr>
            <w:tcW w:w="1135"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162,534</w:t>
            </w:r>
          </w:p>
        </w:tc>
        <w:tc>
          <w:tcPr>
            <w:tcW w:w="1133" w:type="dxa"/>
          </w:tcPr>
          <w:p w:rsidR="000A2EF1" w:rsidRPr="004A5365" w:rsidRDefault="000A2EF1" w:rsidP="000A2EF1">
            <w:pPr>
              <w:pStyle w:val="TableParagraph"/>
              <w:spacing w:before="0" w:line="240" w:lineRule="auto"/>
              <w:ind w:right="99"/>
              <w:rPr>
                <w:rFonts w:ascii="Times New Roman" w:hAnsi="Times New Roman" w:cs="Times New Roman"/>
                <w:sz w:val="13"/>
                <w:szCs w:val="13"/>
              </w:rPr>
            </w:pPr>
            <w:r w:rsidRPr="004A5365">
              <w:rPr>
                <w:rFonts w:ascii="Times New Roman" w:hAnsi="Times New Roman" w:cs="Times New Roman"/>
                <w:sz w:val="13"/>
                <w:szCs w:val="13"/>
              </w:rPr>
              <w:t>154,010</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6FAC46"/>
                <w:sz w:val="13"/>
                <w:szCs w:val="13"/>
              </w:rPr>
              <w:t>Blantyre</w:t>
            </w:r>
          </w:p>
        </w:tc>
        <w:tc>
          <w:tcPr>
            <w:tcW w:w="1133" w:type="dxa"/>
          </w:tcPr>
          <w:p w:rsidR="000A2EF1" w:rsidRPr="004A5365" w:rsidRDefault="000A2EF1" w:rsidP="000A2EF1">
            <w:pPr>
              <w:pStyle w:val="TableParagraph"/>
              <w:spacing w:before="0" w:line="240" w:lineRule="auto"/>
              <w:ind w:right="103"/>
              <w:rPr>
                <w:rFonts w:ascii="Times New Roman" w:hAnsi="Times New Roman" w:cs="Times New Roman"/>
                <w:sz w:val="13"/>
                <w:szCs w:val="13"/>
              </w:rPr>
            </w:pPr>
            <w:r w:rsidRPr="004A5365">
              <w:rPr>
                <w:rFonts w:ascii="Times New Roman" w:hAnsi="Times New Roman" w:cs="Times New Roman"/>
                <w:sz w:val="13"/>
                <w:szCs w:val="13"/>
              </w:rPr>
              <w:t>1,360</w:t>
            </w:r>
          </w:p>
        </w:tc>
        <w:tc>
          <w:tcPr>
            <w:tcW w:w="1135"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1,700</w:t>
            </w:r>
          </w:p>
        </w:tc>
        <w:tc>
          <w:tcPr>
            <w:tcW w:w="1133" w:type="dxa"/>
          </w:tcPr>
          <w:p w:rsidR="000A2EF1" w:rsidRPr="004A5365" w:rsidRDefault="000A2EF1" w:rsidP="000A2EF1">
            <w:pPr>
              <w:pStyle w:val="TableParagraph"/>
              <w:spacing w:before="0" w:line="240" w:lineRule="auto"/>
              <w:ind w:right="95"/>
              <w:rPr>
                <w:rFonts w:ascii="Times New Roman" w:hAnsi="Times New Roman" w:cs="Times New Roman"/>
                <w:sz w:val="13"/>
                <w:szCs w:val="13"/>
              </w:rPr>
            </w:pPr>
            <w:r w:rsidRPr="004A5365">
              <w:rPr>
                <w:rFonts w:ascii="Times New Roman" w:hAnsi="Times New Roman" w:cs="Times New Roman"/>
                <w:sz w:val="13"/>
                <w:szCs w:val="13"/>
              </w:rPr>
              <w:t>N/A</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6FAC46"/>
                <w:sz w:val="13"/>
                <w:szCs w:val="13"/>
              </w:rPr>
              <w:t>Colombo</w:t>
            </w:r>
          </w:p>
        </w:tc>
        <w:tc>
          <w:tcPr>
            <w:tcW w:w="1133" w:type="dxa"/>
          </w:tcPr>
          <w:p w:rsidR="000A2EF1" w:rsidRPr="004A5365" w:rsidRDefault="000A2EF1" w:rsidP="000A2EF1">
            <w:pPr>
              <w:pStyle w:val="TableParagraph"/>
              <w:spacing w:before="0" w:line="240" w:lineRule="auto"/>
              <w:ind w:right="104"/>
              <w:rPr>
                <w:rFonts w:ascii="Times New Roman" w:hAnsi="Times New Roman" w:cs="Times New Roman"/>
                <w:sz w:val="13"/>
                <w:szCs w:val="13"/>
              </w:rPr>
            </w:pPr>
            <w:r w:rsidRPr="004A5365">
              <w:rPr>
                <w:rFonts w:ascii="Times New Roman" w:hAnsi="Times New Roman" w:cs="Times New Roman"/>
                <w:sz w:val="13"/>
                <w:szCs w:val="13"/>
              </w:rPr>
              <w:t>7.49 m.kg</w:t>
            </w:r>
          </w:p>
        </w:tc>
        <w:tc>
          <w:tcPr>
            <w:tcW w:w="1135" w:type="dxa"/>
          </w:tcPr>
          <w:p w:rsidR="000A2EF1" w:rsidRPr="004A5365" w:rsidRDefault="000A2EF1" w:rsidP="000A2EF1">
            <w:pPr>
              <w:pStyle w:val="TableParagraph"/>
              <w:spacing w:before="0" w:line="240" w:lineRule="auto"/>
              <w:ind w:right="103"/>
              <w:rPr>
                <w:rFonts w:ascii="Times New Roman" w:hAnsi="Times New Roman" w:cs="Times New Roman"/>
                <w:sz w:val="13"/>
                <w:szCs w:val="13"/>
              </w:rPr>
            </w:pPr>
            <w:r w:rsidRPr="004A5365">
              <w:rPr>
                <w:rFonts w:ascii="Times New Roman" w:hAnsi="Times New Roman" w:cs="Times New Roman"/>
                <w:sz w:val="13"/>
                <w:szCs w:val="13"/>
              </w:rPr>
              <w:t>7.25 m.kg</w:t>
            </w:r>
          </w:p>
        </w:tc>
        <w:tc>
          <w:tcPr>
            <w:tcW w:w="1133" w:type="dxa"/>
          </w:tcPr>
          <w:p w:rsidR="000A2EF1" w:rsidRPr="004A5365" w:rsidRDefault="000A2EF1" w:rsidP="000A2EF1">
            <w:pPr>
              <w:pStyle w:val="TableParagraph"/>
              <w:spacing w:before="0" w:line="240" w:lineRule="auto"/>
              <w:ind w:right="95"/>
              <w:rPr>
                <w:rFonts w:ascii="Times New Roman" w:hAnsi="Times New Roman" w:cs="Times New Roman"/>
                <w:sz w:val="13"/>
                <w:szCs w:val="13"/>
              </w:rPr>
            </w:pPr>
            <w:r w:rsidRPr="004A5365">
              <w:rPr>
                <w:rFonts w:ascii="Times New Roman" w:hAnsi="Times New Roman" w:cs="Times New Roman"/>
                <w:sz w:val="13"/>
                <w:szCs w:val="13"/>
              </w:rPr>
              <w:t>N/A</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6FAC46"/>
                <w:sz w:val="13"/>
                <w:szCs w:val="13"/>
              </w:rPr>
              <w:t>Jakarta</w:t>
            </w:r>
          </w:p>
        </w:tc>
        <w:tc>
          <w:tcPr>
            <w:tcW w:w="1133" w:type="dxa"/>
          </w:tcPr>
          <w:p w:rsidR="000A2EF1" w:rsidRPr="004A5365" w:rsidRDefault="000A2EF1" w:rsidP="000A2EF1">
            <w:pPr>
              <w:pStyle w:val="TableParagraph"/>
              <w:spacing w:before="0" w:line="240" w:lineRule="auto"/>
              <w:ind w:right="103"/>
              <w:rPr>
                <w:rFonts w:ascii="Times New Roman" w:hAnsi="Times New Roman" w:cs="Times New Roman"/>
                <w:sz w:val="13"/>
                <w:szCs w:val="13"/>
              </w:rPr>
            </w:pPr>
            <w:r w:rsidRPr="004A5365">
              <w:rPr>
                <w:rFonts w:ascii="Times New Roman" w:hAnsi="Times New Roman" w:cs="Times New Roman"/>
                <w:sz w:val="13"/>
                <w:szCs w:val="13"/>
              </w:rPr>
              <w:t>12,600</w:t>
            </w:r>
          </w:p>
        </w:tc>
        <w:tc>
          <w:tcPr>
            <w:tcW w:w="1135" w:type="dxa"/>
          </w:tcPr>
          <w:p w:rsidR="000A2EF1" w:rsidRPr="004A5365" w:rsidRDefault="000A2EF1" w:rsidP="000A2EF1">
            <w:pPr>
              <w:pStyle w:val="TableParagraph"/>
              <w:spacing w:before="0" w:line="240" w:lineRule="auto"/>
              <w:ind w:right="97"/>
              <w:rPr>
                <w:rFonts w:ascii="Times New Roman" w:hAnsi="Times New Roman" w:cs="Times New Roman"/>
                <w:sz w:val="13"/>
                <w:szCs w:val="13"/>
              </w:rPr>
            </w:pPr>
            <w:r w:rsidRPr="004A5365">
              <w:rPr>
                <w:rFonts w:ascii="Times New Roman" w:hAnsi="Times New Roman" w:cs="Times New Roman"/>
                <w:sz w:val="13"/>
                <w:szCs w:val="13"/>
              </w:rPr>
              <w:t>N/A</w:t>
            </w:r>
          </w:p>
        </w:tc>
        <w:tc>
          <w:tcPr>
            <w:tcW w:w="1133" w:type="dxa"/>
          </w:tcPr>
          <w:p w:rsidR="000A2EF1" w:rsidRPr="004A5365" w:rsidRDefault="000A2EF1" w:rsidP="000A2EF1">
            <w:pPr>
              <w:pStyle w:val="TableParagraph"/>
              <w:spacing w:before="0" w:line="240" w:lineRule="auto"/>
              <w:ind w:right="95"/>
              <w:rPr>
                <w:rFonts w:ascii="Times New Roman" w:hAnsi="Times New Roman" w:cs="Times New Roman"/>
                <w:sz w:val="13"/>
                <w:szCs w:val="13"/>
              </w:rPr>
            </w:pPr>
            <w:r w:rsidRPr="004A5365">
              <w:rPr>
                <w:rFonts w:ascii="Times New Roman" w:hAnsi="Times New Roman" w:cs="Times New Roman"/>
                <w:sz w:val="13"/>
                <w:szCs w:val="13"/>
              </w:rPr>
              <w:t>N/A</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6FAC46"/>
                <w:sz w:val="13"/>
                <w:szCs w:val="13"/>
              </w:rPr>
              <w:t>Kolkata</w:t>
            </w:r>
          </w:p>
        </w:tc>
        <w:tc>
          <w:tcPr>
            <w:tcW w:w="1133" w:type="dxa"/>
          </w:tcPr>
          <w:p w:rsidR="000A2EF1" w:rsidRPr="004A5365" w:rsidRDefault="000A2EF1" w:rsidP="000A2EF1">
            <w:pPr>
              <w:pStyle w:val="TableParagraph"/>
              <w:spacing w:before="0" w:line="240" w:lineRule="auto"/>
              <w:ind w:right="101"/>
              <w:rPr>
                <w:rFonts w:ascii="Times New Roman" w:hAnsi="Times New Roman" w:cs="Times New Roman"/>
                <w:sz w:val="13"/>
                <w:szCs w:val="13"/>
              </w:rPr>
            </w:pPr>
            <w:r w:rsidRPr="004A5365">
              <w:rPr>
                <w:rFonts w:ascii="Times New Roman" w:hAnsi="Times New Roman" w:cs="Times New Roman"/>
                <w:sz w:val="13"/>
                <w:szCs w:val="13"/>
              </w:rPr>
              <w:t>No sale</w:t>
            </w:r>
          </w:p>
        </w:tc>
        <w:tc>
          <w:tcPr>
            <w:tcW w:w="1135"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129,538</w:t>
            </w:r>
          </w:p>
        </w:tc>
        <w:tc>
          <w:tcPr>
            <w:tcW w:w="1133" w:type="dxa"/>
          </w:tcPr>
          <w:p w:rsidR="000A2EF1" w:rsidRPr="004A5365" w:rsidRDefault="000A2EF1" w:rsidP="000A2EF1">
            <w:pPr>
              <w:pStyle w:val="TableParagraph"/>
              <w:spacing w:before="0" w:line="240" w:lineRule="auto"/>
              <w:ind w:right="100"/>
              <w:rPr>
                <w:rFonts w:ascii="Times New Roman" w:hAnsi="Times New Roman" w:cs="Times New Roman"/>
                <w:sz w:val="13"/>
                <w:szCs w:val="13"/>
              </w:rPr>
            </w:pPr>
            <w:r w:rsidRPr="004A5365">
              <w:rPr>
                <w:rFonts w:ascii="Times New Roman" w:hAnsi="Times New Roman" w:cs="Times New Roman"/>
                <w:sz w:val="13"/>
                <w:szCs w:val="13"/>
              </w:rPr>
              <w:t>95,935</w:t>
            </w:r>
          </w:p>
        </w:tc>
      </w:tr>
      <w:tr w:rsidR="000A2EF1" w:rsidRPr="004A5365" w:rsidTr="000A2EF1">
        <w:trPr>
          <w:trHeight w:val="180"/>
          <w:jc w:val="center"/>
        </w:trPr>
        <w:tc>
          <w:tcPr>
            <w:tcW w:w="1589" w:type="dxa"/>
          </w:tcPr>
          <w:p w:rsidR="000A2EF1" w:rsidRPr="004A5365" w:rsidRDefault="000A2EF1" w:rsidP="000A2EF1">
            <w:pPr>
              <w:pStyle w:val="TableParagraph"/>
              <w:spacing w:before="0" w:line="240" w:lineRule="auto"/>
              <w:ind w:left="100"/>
              <w:jc w:val="left"/>
              <w:rPr>
                <w:rFonts w:ascii="Times New Roman" w:hAnsi="Times New Roman" w:cs="Times New Roman"/>
                <w:b/>
                <w:sz w:val="13"/>
                <w:szCs w:val="13"/>
              </w:rPr>
            </w:pPr>
            <w:r w:rsidRPr="004A5365">
              <w:rPr>
                <w:rFonts w:ascii="Times New Roman" w:hAnsi="Times New Roman" w:cs="Times New Roman"/>
                <w:b/>
                <w:color w:val="6FAC46"/>
                <w:sz w:val="13"/>
                <w:szCs w:val="13"/>
              </w:rPr>
              <w:t>Guwahati</w:t>
            </w:r>
          </w:p>
        </w:tc>
        <w:tc>
          <w:tcPr>
            <w:tcW w:w="1133"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150,465</w:t>
            </w:r>
          </w:p>
        </w:tc>
        <w:tc>
          <w:tcPr>
            <w:tcW w:w="1135" w:type="dxa"/>
          </w:tcPr>
          <w:p w:rsidR="000A2EF1" w:rsidRPr="004A5365" w:rsidRDefault="000A2EF1" w:rsidP="000A2EF1">
            <w:pPr>
              <w:pStyle w:val="TableParagraph"/>
              <w:spacing w:before="0" w:line="240" w:lineRule="auto"/>
              <w:ind w:right="102"/>
              <w:rPr>
                <w:rFonts w:ascii="Times New Roman" w:hAnsi="Times New Roman" w:cs="Times New Roman"/>
                <w:sz w:val="13"/>
                <w:szCs w:val="13"/>
              </w:rPr>
            </w:pPr>
            <w:r w:rsidRPr="004A5365">
              <w:rPr>
                <w:rFonts w:ascii="Times New Roman" w:hAnsi="Times New Roman" w:cs="Times New Roman"/>
                <w:sz w:val="13"/>
                <w:szCs w:val="13"/>
              </w:rPr>
              <w:t>144,156</w:t>
            </w:r>
          </w:p>
        </w:tc>
        <w:tc>
          <w:tcPr>
            <w:tcW w:w="1133" w:type="dxa"/>
          </w:tcPr>
          <w:p w:rsidR="000A2EF1" w:rsidRPr="004A5365" w:rsidRDefault="000A2EF1" w:rsidP="000A2EF1">
            <w:pPr>
              <w:pStyle w:val="TableParagraph"/>
              <w:spacing w:before="0" w:line="240" w:lineRule="auto"/>
              <w:ind w:right="95"/>
              <w:rPr>
                <w:rFonts w:ascii="Times New Roman" w:hAnsi="Times New Roman" w:cs="Times New Roman"/>
                <w:sz w:val="13"/>
                <w:szCs w:val="13"/>
              </w:rPr>
            </w:pPr>
            <w:r w:rsidRPr="004A5365">
              <w:rPr>
                <w:rFonts w:ascii="Times New Roman" w:hAnsi="Times New Roman" w:cs="Times New Roman"/>
                <w:sz w:val="13"/>
                <w:szCs w:val="13"/>
              </w:rPr>
              <w:t>N/A</w:t>
            </w:r>
          </w:p>
        </w:tc>
      </w:tr>
    </w:tbl>
    <w:p w:rsidR="000A2EF1" w:rsidRPr="004A5365" w:rsidRDefault="000A2EF1" w:rsidP="000A2EF1">
      <w:pPr>
        <w:pStyle w:val="BodyText"/>
        <w:spacing w:before="0" w:beforeAutospacing="0" w:after="0" w:afterAutospacing="0"/>
        <w:jc w:val="right"/>
        <w:rPr>
          <w:sz w:val="13"/>
          <w:szCs w:val="13"/>
        </w:rPr>
      </w:pPr>
      <w:r w:rsidRPr="004A5365">
        <w:rPr>
          <w:i/>
          <w:sz w:val="13"/>
          <w:szCs w:val="13"/>
        </w:rPr>
        <w:t>(source: “Van Rees”)</w:t>
      </w:r>
    </w:p>
    <w:p w:rsidR="006B04A6" w:rsidRPr="004A5365" w:rsidRDefault="006B04A6" w:rsidP="000A2EF1">
      <w:pPr>
        <w:spacing w:after="0" w:line="240" w:lineRule="auto"/>
        <w:rPr>
          <w:rFonts w:ascii="Times New Roman" w:hAnsi="Times New Roman" w:cs="Times New Roman"/>
          <w:sz w:val="13"/>
          <w:szCs w:val="13"/>
        </w:rPr>
      </w:pPr>
    </w:p>
    <w:sectPr w:rsidR="006B04A6" w:rsidRPr="004A5365" w:rsidSect="00CC7972">
      <w:type w:val="continuous"/>
      <w:pgSz w:w="12240" w:h="15840" w:code="1"/>
      <w:pgMar w:top="720" w:right="1440" w:bottom="86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754" w:rsidRDefault="000D2754" w:rsidP="000A2EF1">
      <w:pPr>
        <w:spacing w:after="0" w:line="240" w:lineRule="auto"/>
      </w:pPr>
      <w:r>
        <w:separator/>
      </w:r>
    </w:p>
  </w:endnote>
  <w:endnote w:type="continuationSeparator" w:id="1">
    <w:p w:rsidR="000D2754" w:rsidRDefault="000D2754" w:rsidP="000A2E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38266"/>
      <w:docPartObj>
        <w:docPartGallery w:val="Page Numbers (Bottom of Page)"/>
        <w:docPartUnique/>
      </w:docPartObj>
    </w:sdtPr>
    <w:sdtContent>
      <w:p w:rsidR="000A2EF1" w:rsidRDefault="000A2EF1">
        <w:pPr>
          <w:pStyle w:val="Footer"/>
          <w:jc w:val="center"/>
        </w:pPr>
        <w:fldSimple w:instr=" PAGE   \* MERGEFORMAT ">
          <w:r w:rsidR="004A5365">
            <w:rPr>
              <w:noProof/>
            </w:rPr>
            <w:t>2</w:t>
          </w:r>
        </w:fldSimple>
      </w:p>
    </w:sdtContent>
  </w:sdt>
  <w:p w:rsidR="000A2EF1" w:rsidRDefault="000A2E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754" w:rsidRDefault="000D2754" w:rsidP="000A2EF1">
      <w:pPr>
        <w:spacing w:after="0" w:line="240" w:lineRule="auto"/>
      </w:pPr>
      <w:r>
        <w:separator/>
      </w:r>
    </w:p>
  </w:footnote>
  <w:footnote w:type="continuationSeparator" w:id="1">
    <w:p w:rsidR="000D2754" w:rsidRDefault="000D2754" w:rsidP="000A2E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B04A6"/>
    <w:rsid w:val="000A2EF1"/>
    <w:rsid w:val="000D2754"/>
    <w:rsid w:val="001044ED"/>
    <w:rsid w:val="00316E8C"/>
    <w:rsid w:val="004A5365"/>
    <w:rsid w:val="006B04A6"/>
    <w:rsid w:val="00CC79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A6"/>
  </w:style>
  <w:style w:type="paragraph" w:styleId="Heading2">
    <w:name w:val="heading 2"/>
    <w:basedOn w:val="Normal"/>
    <w:link w:val="Heading2Char"/>
    <w:uiPriority w:val="9"/>
    <w:qFormat/>
    <w:rsid w:val="006B04A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6B04A6"/>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link w:val="Heading6Char"/>
    <w:uiPriority w:val="9"/>
    <w:qFormat/>
    <w:rsid w:val="006B04A6"/>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B04A6"/>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6B04A6"/>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9"/>
    <w:rsid w:val="006B04A6"/>
    <w:rPr>
      <w:rFonts w:ascii="Times New Roman" w:eastAsia="Times New Roman" w:hAnsi="Times New Roman" w:cs="Times New Roman"/>
      <w:b/>
      <w:bCs/>
      <w:sz w:val="15"/>
      <w:szCs w:val="15"/>
    </w:rPr>
  </w:style>
  <w:style w:type="character" w:customStyle="1" w:styleId="apple-converted-space">
    <w:name w:val="apple-converted-space"/>
    <w:basedOn w:val="DefaultParagraphFont"/>
    <w:rsid w:val="006B04A6"/>
  </w:style>
  <w:style w:type="paragraph" w:styleId="BodyText">
    <w:name w:val="Body Text"/>
    <w:basedOn w:val="Normal"/>
    <w:link w:val="BodyTextChar"/>
    <w:uiPriority w:val="99"/>
    <w:unhideWhenUsed/>
    <w:rsid w:val="006B04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6B04A6"/>
    <w:rPr>
      <w:rFonts w:ascii="Times New Roman" w:eastAsia="Times New Roman" w:hAnsi="Times New Roman" w:cs="Times New Roman"/>
      <w:sz w:val="24"/>
      <w:szCs w:val="24"/>
    </w:rPr>
  </w:style>
  <w:style w:type="paragraph" w:styleId="NoSpacing">
    <w:name w:val="No Spacing"/>
    <w:basedOn w:val="Normal"/>
    <w:uiPriority w:val="1"/>
    <w:qFormat/>
    <w:rsid w:val="006B04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0A2EF1"/>
    <w:pPr>
      <w:widowControl w:val="0"/>
      <w:autoSpaceDE w:val="0"/>
      <w:autoSpaceDN w:val="0"/>
      <w:spacing w:before="1" w:after="0" w:line="188" w:lineRule="exact"/>
      <w:jc w:val="right"/>
    </w:pPr>
    <w:rPr>
      <w:rFonts w:ascii="Lucida Sans" w:eastAsia="Lucida Sans" w:hAnsi="Lucida Sans" w:cs="Lucida Sans"/>
    </w:rPr>
  </w:style>
  <w:style w:type="paragraph" w:styleId="Header">
    <w:name w:val="header"/>
    <w:basedOn w:val="Normal"/>
    <w:link w:val="HeaderChar"/>
    <w:uiPriority w:val="99"/>
    <w:semiHidden/>
    <w:unhideWhenUsed/>
    <w:rsid w:val="000A2EF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2EF1"/>
  </w:style>
  <w:style w:type="paragraph" w:styleId="Footer">
    <w:name w:val="footer"/>
    <w:basedOn w:val="Normal"/>
    <w:link w:val="FooterChar"/>
    <w:uiPriority w:val="99"/>
    <w:unhideWhenUsed/>
    <w:rsid w:val="000A2E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2EF1"/>
  </w:style>
</w:styles>
</file>

<file path=word/webSettings.xml><?xml version="1.0" encoding="utf-8"?>
<w:webSettings xmlns:r="http://schemas.openxmlformats.org/officeDocument/2006/relationships" xmlns:w="http://schemas.openxmlformats.org/wordprocessingml/2006/main">
  <w:divs>
    <w:div w:id="218367463">
      <w:bodyDiv w:val="1"/>
      <w:marLeft w:val="0"/>
      <w:marRight w:val="0"/>
      <w:marTop w:val="0"/>
      <w:marBottom w:val="0"/>
      <w:divBdr>
        <w:top w:val="none" w:sz="0" w:space="0" w:color="auto"/>
        <w:left w:val="none" w:sz="0" w:space="0" w:color="auto"/>
        <w:bottom w:val="none" w:sz="0" w:space="0" w:color="auto"/>
        <w:right w:val="none" w:sz="0" w:space="0" w:color="auto"/>
      </w:divBdr>
    </w:div>
    <w:div w:id="58977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2021</Words>
  <Characters>11525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COMPUTER'S PATHOLOGY @ UTTARA HM PLAZA SHOP # 35</Company>
  <LinksUpToDate>false</LinksUpToDate>
  <CharactersWithSpaces>13519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SSA. SAZIB # 01671417741 # 01816746474</dc:creator>
  <cp:keywords/>
  <dc:description/>
  <cp:lastModifiedBy>SSA. SAZIB # 01671417741 # 01816746474</cp:lastModifiedBy>
  <cp:revision>1</cp:revision>
  <dcterms:created xsi:type="dcterms:W3CDTF">2018-01-20T04:22:00Z</dcterms:created>
  <dcterms:modified xsi:type="dcterms:W3CDTF">2018-01-20T05:46:00Z</dcterms:modified>
</cp:coreProperties>
</file>